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450" w:line="450" w:lineRule="atLeast"/>
        <w:jc w:val="center"/>
        <w:rPr>
          <w:rFonts w:hint="default" w:ascii="方正小标宋简体" w:hAnsi="方正小标宋简体" w:eastAsia="方正小标宋简体" w:cs="方正小标宋简体"/>
          <w:sz w:val="44"/>
          <w:szCs w:val="44"/>
        </w:rPr>
      </w:pPr>
      <w:bookmarkStart w:id="0" w:name="_Toc46308528"/>
      <w:bookmarkStart w:id="1" w:name="_Toc37569520"/>
      <w:bookmarkStart w:id="2" w:name="_Toc37245277"/>
      <w:bookmarkStart w:id="3" w:name="_Toc37331039"/>
      <w:bookmarkStart w:id="4" w:name="_Toc37331081"/>
      <w:bookmarkStart w:id="5" w:name="_Toc40762371"/>
      <w:bookmarkStart w:id="6" w:name="_Toc37581421"/>
      <w:bookmarkStart w:id="7" w:name="_Toc37663392"/>
      <w:bookmarkStart w:id="8" w:name="_Toc46308684"/>
      <w:r>
        <w:rPr>
          <w:rFonts w:hint="eastAsia" w:ascii="黑体" w:hAnsi="黑体" w:eastAsia="黑体"/>
          <w:sz w:val="44"/>
          <w:szCs w:val="44"/>
        </w:rPr>
        <w:t>“金陵画派绘画特展”（暂定名）</w:t>
      </w:r>
      <w:r>
        <w:rPr>
          <w:rFonts w:hint="eastAsia" w:ascii="黑体" w:eastAsia="黑体"/>
          <w:sz w:val="44"/>
          <w:szCs w:val="44"/>
          <w:lang w:eastAsia="zh-CN"/>
        </w:rPr>
        <w:t>采购运输服务（含运输保险、展期保险）需求书</w:t>
      </w:r>
    </w:p>
    <w:p/>
    <w:bookmarkEnd w:id="0"/>
    <w:bookmarkEnd w:id="1"/>
    <w:bookmarkEnd w:id="2"/>
    <w:bookmarkEnd w:id="3"/>
    <w:bookmarkEnd w:id="4"/>
    <w:bookmarkEnd w:id="5"/>
    <w:bookmarkEnd w:id="6"/>
    <w:bookmarkEnd w:id="7"/>
    <w:bookmarkEnd w:id="8"/>
    <w:p>
      <w:pPr>
        <w:spacing w:line="600" w:lineRule="exact"/>
        <w:ind w:firstLine="562" w:firstLineChars="200"/>
        <w:outlineLvl w:val="1"/>
        <w:rPr>
          <w:rFonts w:ascii="宋体" w:hAnsi="宋体" w:eastAsia="宋体" w:cs="宋体"/>
          <w:b/>
          <w:sz w:val="28"/>
          <w:szCs w:val="28"/>
        </w:rPr>
      </w:pPr>
      <w:bookmarkStart w:id="9"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sz w:val="28"/>
          <w:szCs w:val="28"/>
        </w:rPr>
        <w:t>1、</w:t>
      </w:r>
      <w:r>
        <w:rPr>
          <w:rFonts w:hint="eastAsia" w:ascii="仿宋" w:hAnsi="仿宋" w:eastAsia="仿宋" w:cs="仿宋"/>
          <w:color w:val="000000"/>
          <w:sz w:val="28"/>
          <w:szCs w:val="28"/>
        </w:rPr>
        <w:t>具有独立承担民事责任的能力（提供法人或者其他组织的营业执照，自然人的身份证明）；</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具有良好的商业信誉和健全的财务会计制度（提供参加本次谈判活动前</w:t>
      </w:r>
      <w:r>
        <w:rPr>
          <w:rFonts w:hint="eastAsia" w:ascii="仿宋" w:hAnsi="仿宋" w:eastAsia="仿宋" w:cs="仿宋"/>
          <w:color w:val="000000"/>
          <w:sz w:val="28"/>
          <w:szCs w:val="28"/>
          <w:lang w:val="en-US"/>
        </w:rPr>
        <w:t>一</w:t>
      </w:r>
      <w:r>
        <w:rPr>
          <w:rFonts w:hint="eastAsia" w:ascii="仿宋" w:hAnsi="仿宋" w:eastAsia="仿宋" w:cs="仿宋"/>
          <w:color w:val="000000"/>
          <w:sz w:val="28"/>
          <w:szCs w:val="28"/>
          <w:lang w:val="en-US" w:eastAsia="zh-CN"/>
        </w:rPr>
        <w:t>年</w:t>
      </w:r>
      <w:r>
        <w:rPr>
          <w:rFonts w:hint="eastAsia" w:ascii="仿宋" w:hAnsi="仿宋" w:eastAsia="仿宋" w:cs="仿宋"/>
          <w:sz w:val="28"/>
          <w:szCs w:val="28"/>
        </w:rPr>
        <w:t>的</w:t>
      </w:r>
      <w:r>
        <w:rPr>
          <w:rFonts w:hint="eastAsia" w:ascii="仿宋" w:hAnsi="仿宋" w:eastAsia="仿宋" w:cs="仿宋"/>
          <w:sz w:val="28"/>
          <w:szCs w:val="28"/>
          <w:lang w:val="en-US" w:eastAsia="zh-CN"/>
        </w:rPr>
        <w:t>审计报告</w:t>
      </w:r>
      <w:r>
        <w:rPr>
          <w:rFonts w:hint="eastAsia" w:ascii="仿宋" w:hAnsi="仿宋" w:eastAsia="仿宋" w:cs="仿宋"/>
          <w:sz w:val="28"/>
          <w:szCs w:val="28"/>
        </w:rPr>
        <w:t>）</w:t>
      </w:r>
      <w:r>
        <w:rPr>
          <w:rFonts w:hint="eastAsia" w:ascii="仿宋" w:hAnsi="仿宋" w:eastAsia="仿宋" w:cs="仿宋"/>
          <w:color w:val="000000"/>
          <w:sz w:val="28"/>
          <w:szCs w:val="28"/>
        </w:rPr>
        <w:t>；</w:t>
      </w:r>
    </w:p>
    <w:p>
      <w:pPr>
        <w:autoSpaceDE w:val="0"/>
        <w:autoSpaceDN w:val="0"/>
        <w:adjustRightInd w:val="0"/>
        <w:spacing w:line="360" w:lineRule="auto"/>
        <w:rPr>
          <w:rFonts w:ascii="宋体" w:hAnsi="宋体" w:eastAsia="宋体"/>
          <w:color w:val="000000"/>
          <w:sz w:val="24"/>
          <w:szCs w:val="24"/>
        </w:rPr>
      </w:pPr>
      <w:r>
        <w:rPr>
          <w:rFonts w:hint="eastAsia" w:ascii="仿宋" w:hAnsi="仿宋" w:eastAsia="仿宋" w:cs="仿宋"/>
          <w:color w:val="000000"/>
          <w:sz w:val="28"/>
          <w:szCs w:val="28"/>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具有履行合同所必需的设备和专业技术能力（根据项目需求提供</w:t>
      </w:r>
      <w:r>
        <w:rPr>
          <w:rFonts w:hint="eastAsia" w:ascii="仿宋" w:hAnsi="仿宋" w:eastAsia="仿宋" w:cs="仿宋"/>
          <w:sz w:val="28"/>
          <w:szCs w:val="28"/>
        </w:rPr>
        <w:t>履行合同所必需的设备和专业技术能力的证明材料或相关加盖公章的承诺函）</w:t>
      </w:r>
      <w:r>
        <w:rPr>
          <w:rFonts w:hint="eastAsia" w:ascii="仿宋" w:hAnsi="仿宋" w:eastAsia="仿宋" w:cs="仿宋"/>
          <w:color w:val="000000"/>
          <w:sz w:val="28"/>
          <w:szCs w:val="28"/>
        </w:rPr>
        <w:t>；</w:t>
      </w:r>
      <w:r>
        <w:rPr>
          <w:rFonts w:hint="eastAsia" w:ascii="宋体" w:hAnsi="宋体" w:eastAsia="宋体"/>
          <w:color w:val="000000"/>
          <w:sz w:val="24"/>
          <w:szCs w:val="24"/>
        </w:rPr>
        <w:t xml:space="preserve"> </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、投标人参与本项目投标前三年内，在经营活动中没有重大违法记录（由供应商在《投标人具备投标资格的证明文件》中作出声明）。</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5、法律、行政法规规定的其他条件。</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6、投标人应为具有为本采购项目提供艺术品保险服务的大型保险公司。投标人理赔响应高效、具备全国修复网络、项目负责人具备丰富艺术品保险经验者更佳。</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7、投标人应具备具备三年以上从事国家文物展览运输服务经验。</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8、投标人应负责采购本项目的运输保险、展期保险。（保险公司在国内具备五年及以上艺术品保险服务经验者）。</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9、本项目不接受联合体参与竞争。</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9"/>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4"/>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w:t>
            </w:r>
            <w:r>
              <w:rPr>
                <w:rFonts w:hint="eastAsia" w:ascii="仿宋_GB2312" w:hAnsi="仿宋_GB2312" w:eastAsia="仿宋_GB2312" w:cs="仿宋_GB2312"/>
                <w:bCs/>
                <w:sz w:val="28"/>
                <w:szCs w:val="28"/>
                <w:lang w:val="en-US" w:eastAsia="zh-CN"/>
              </w:rPr>
              <w:t>90</w:t>
            </w:r>
            <w:r>
              <w:rPr>
                <w:rFonts w:hint="eastAsia" w:ascii="仿宋_GB2312" w:hAnsi="仿宋_GB2312" w:eastAsia="仿宋_GB2312" w:cs="仿宋_GB2312"/>
                <w:bCs/>
                <w:sz w:val="28"/>
                <w:szCs w:val="28"/>
              </w:rPr>
              <w:t>日内</w:t>
            </w:r>
          </w:p>
        </w:tc>
        <w:tc>
          <w:tcPr>
            <w:tcW w:w="2547" w:type="dxa"/>
            <w:vAlign w:val="center"/>
          </w:tcPr>
          <w:p>
            <w:pPr>
              <w:adjustRightInd w:val="0"/>
              <w:snapToGrid w:val="0"/>
              <w:spacing w:beforeLines="50" w:line="600" w:lineRule="exact"/>
              <w:ind w:right="-181" w:rightChars="-86"/>
              <w:jc w:val="center"/>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以合同时间为准</w:t>
            </w: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spacing w:line="360" w:lineRule="auto"/>
        <w:ind w:firstLine="560" w:firstLineChars="200"/>
        <w:jc w:val="left"/>
        <w:rPr>
          <w:rFonts w:ascii="宋体" w:hAnsi="宋体" w:eastAsia="宋体"/>
          <w:bCs/>
          <w:sz w:val="24"/>
          <w:szCs w:val="24"/>
          <w:lang w:val="en-US"/>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w:t>
      </w:r>
      <w:r>
        <w:rPr>
          <w:rFonts w:hint="eastAsia" w:ascii="仿宋" w:hAnsi="仿宋" w:eastAsia="仿宋" w:cs="仿宋"/>
          <w:bCs/>
          <w:sz w:val="28"/>
          <w:szCs w:val="28"/>
          <w:lang w:val="en-US"/>
        </w:rPr>
        <w:t>报价应包括交付使用前的所有费用</w:t>
      </w:r>
      <w:r>
        <w:rPr>
          <w:rFonts w:hint="eastAsia" w:ascii="仿宋" w:hAnsi="仿宋" w:eastAsia="仿宋" w:cs="仿宋"/>
          <w:bCs/>
          <w:sz w:val="28"/>
          <w:szCs w:val="28"/>
          <w:lang w:val="en-US" w:eastAsia="zh-CN"/>
        </w:rPr>
        <w:t>，含</w:t>
      </w:r>
      <w:r>
        <w:rPr>
          <w:rFonts w:hint="eastAsia" w:ascii="仿宋" w:hAnsi="仿宋" w:eastAsia="仿宋" w:cs="仿宋"/>
          <w:bCs/>
          <w:sz w:val="28"/>
          <w:szCs w:val="28"/>
          <w:lang w:val="en-US"/>
        </w:rPr>
        <w:t>国家强制缴纳的费用</w:t>
      </w:r>
      <w:r>
        <w:rPr>
          <w:rFonts w:hint="eastAsia" w:ascii="仿宋" w:hAnsi="仿宋" w:eastAsia="仿宋" w:cs="仿宋"/>
          <w:bCs/>
          <w:sz w:val="28"/>
          <w:szCs w:val="28"/>
        </w:rPr>
        <w:t>。</w:t>
      </w:r>
    </w:p>
    <w:p>
      <w:pPr>
        <w:tabs>
          <w:tab w:val="left" w:pos="540"/>
        </w:tabs>
        <w:adjustRightInd w:val="0"/>
        <w:snapToGrid w:val="0"/>
        <w:spacing w:line="600" w:lineRule="exact"/>
        <w:ind w:right="-181" w:rightChars="-86" w:firstLine="560" w:firstLineChars="200"/>
        <w:jc w:val="left"/>
        <w:rPr>
          <w:rFonts w:ascii="仿宋_GB2312" w:hAnsi="仿宋_GB2312" w:eastAsia="仿宋_GB2312" w:cs="仿宋_GB2312"/>
          <w:snapToGrid w:val="0"/>
          <w:sz w:val="28"/>
          <w:szCs w:val="28"/>
        </w:rPr>
      </w:pPr>
    </w:p>
    <w:p>
      <w:pPr>
        <w:spacing w:line="600" w:lineRule="exact"/>
        <w:ind w:firstLine="562" w:firstLineChars="200"/>
        <w:jc w:val="left"/>
        <w:outlineLvl w:val="1"/>
        <w:rPr>
          <w:rFonts w:ascii="宋体" w:hAnsi="宋体" w:eastAsia="宋体" w:cs="宋体"/>
          <w:b/>
          <w:sz w:val="28"/>
          <w:szCs w:val="28"/>
        </w:rPr>
      </w:pPr>
      <w:bookmarkStart w:id="10" w:name="_Toc419986982"/>
      <w:r>
        <w:rPr>
          <w:rFonts w:hint="eastAsia" w:ascii="宋体" w:hAnsi="宋体" w:eastAsia="宋体" w:cs="宋体"/>
          <w:b/>
          <w:sz w:val="28"/>
          <w:szCs w:val="28"/>
        </w:rPr>
        <w:t>三、招标范围及要求</w:t>
      </w:r>
      <w:bookmarkEnd w:id="10"/>
    </w:p>
    <w:p>
      <w:pPr>
        <w:widowControl/>
        <w:shd w:val="clear" w:color="auto" w:fill="FFFFFF"/>
        <w:spacing w:line="360" w:lineRule="auto"/>
        <w:ind w:firstLine="562" w:firstLineChars="200"/>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widowControl/>
        <w:shd w:val="clear" w:color="auto" w:fill="FFFFFF"/>
        <w:spacing w:line="360" w:lineRule="auto"/>
        <w:ind w:firstLine="560" w:firstLineChars="200"/>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何香凝美术馆举办</w:t>
      </w:r>
      <w:r>
        <w:rPr>
          <w:rFonts w:hint="eastAsia" w:ascii="仿宋" w:hAnsi="仿宋" w:eastAsia="仿宋" w:cs="仿宋"/>
          <w:sz w:val="28"/>
          <w:szCs w:val="28"/>
        </w:rPr>
        <w:t>“金陵画派绘画特展”（暂定名）</w:t>
      </w:r>
      <w:r>
        <w:rPr>
          <w:rFonts w:hint="eastAsia" w:ascii="仿宋" w:hAnsi="仿宋" w:eastAsia="仿宋" w:cs="仿宋"/>
          <w:color w:val="000000"/>
          <w:sz w:val="28"/>
          <w:szCs w:val="28"/>
        </w:rPr>
        <w:t>，要求供应商完成展览</w:t>
      </w:r>
      <w:r>
        <w:rPr>
          <w:rFonts w:hint="eastAsia" w:ascii="仿宋" w:hAnsi="仿宋" w:eastAsia="仿宋" w:cs="仿宋"/>
          <w:color w:val="000000"/>
          <w:sz w:val="28"/>
          <w:szCs w:val="28"/>
          <w:lang w:val="en-US" w:eastAsia="zh-CN"/>
        </w:rPr>
        <w:t>期间的</w:t>
      </w:r>
      <w:r>
        <w:rPr>
          <w:rFonts w:hint="eastAsia" w:ascii="仿宋" w:hAnsi="仿宋" w:eastAsia="仿宋" w:cs="仿宋"/>
          <w:color w:val="000000"/>
          <w:sz w:val="28"/>
          <w:szCs w:val="28"/>
        </w:rPr>
        <w:t>文物</w:t>
      </w:r>
      <w:r>
        <w:rPr>
          <w:rFonts w:hint="eastAsia" w:ascii="仿宋" w:hAnsi="仿宋" w:eastAsia="仿宋" w:cs="仿宋"/>
          <w:color w:val="000000"/>
          <w:sz w:val="28"/>
          <w:szCs w:val="28"/>
          <w:lang w:val="en-US" w:eastAsia="zh-CN"/>
        </w:rPr>
        <w:t>运输往返（含运输保险、展期保险）。南京博物院藏品约80件，藏品总估价约人民币：11000万元。</w:t>
      </w:r>
      <w:r>
        <w:rPr>
          <w:rFonts w:hint="eastAsia" w:ascii="仿宋" w:hAnsi="仿宋" w:eastAsia="仿宋" w:cs="仿宋"/>
          <w:color w:val="000000"/>
          <w:sz w:val="28"/>
          <w:szCs w:val="28"/>
        </w:rPr>
        <w:t>展览地点</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何香凝美术馆</w:t>
      </w:r>
      <w:r>
        <w:rPr>
          <w:rFonts w:hint="eastAsia" w:ascii="仿宋" w:hAnsi="仿宋" w:eastAsia="仿宋" w:cs="仿宋"/>
          <w:color w:val="000000"/>
          <w:sz w:val="28"/>
          <w:szCs w:val="28"/>
        </w:rPr>
        <w:t>，展览时间</w:t>
      </w:r>
      <w:r>
        <w:rPr>
          <w:rFonts w:hint="eastAsia" w:ascii="仿宋" w:hAnsi="仿宋" w:eastAsia="仿宋" w:cs="仿宋"/>
          <w:color w:val="000000"/>
          <w:sz w:val="28"/>
          <w:szCs w:val="28"/>
          <w:lang w:val="en-US" w:eastAsia="zh-CN"/>
        </w:rPr>
        <w:t>暂定约</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w:t>
      </w:r>
      <w:r>
        <w:rPr>
          <w:rFonts w:hint="eastAsia" w:ascii="仿宋" w:hAnsi="仿宋" w:eastAsia="仿宋" w:cs="仿宋"/>
          <w:color w:val="000000"/>
          <w:sz w:val="28"/>
          <w:szCs w:val="28"/>
          <w:lang w:val="en-US"/>
        </w:rPr>
        <w:t>2</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7月1日——2022年10月30日。</w:t>
      </w:r>
    </w:p>
    <w:p>
      <w:pPr>
        <w:spacing w:line="600" w:lineRule="exact"/>
        <w:ind w:firstLine="562" w:firstLineChars="200"/>
        <w:rPr>
          <w:rFonts w:ascii="仿宋_GB2312" w:hAnsi="仿宋_GB2312" w:eastAsia="仿宋_GB2312" w:cs="仿宋_GB2312"/>
          <w:b/>
          <w:sz w:val="28"/>
          <w:szCs w:val="28"/>
        </w:rPr>
      </w:pP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w:t>
      </w:r>
      <w:r>
        <w:rPr>
          <w:rFonts w:hint="eastAsia" w:ascii="仿宋_GB2312" w:hAnsi="仿宋_GB2312" w:eastAsia="仿宋_GB2312" w:cs="仿宋_GB2312"/>
          <w:b/>
          <w:sz w:val="28"/>
          <w:szCs w:val="28"/>
          <w:lang w:val="en-US" w:eastAsia="zh-CN"/>
        </w:rPr>
        <w:t>服务及</w:t>
      </w:r>
      <w:r>
        <w:rPr>
          <w:rFonts w:hint="eastAsia" w:ascii="仿宋_GB2312" w:hAnsi="仿宋_GB2312" w:eastAsia="仿宋_GB2312" w:cs="仿宋_GB2312"/>
          <w:b/>
          <w:sz w:val="28"/>
          <w:szCs w:val="28"/>
        </w:rPr>
        <w:t>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spacing w:line="36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为所有借展文物</w:t>
      </w:r>
      <w:r>
        <w:rPr>
          <w:rFonts w:hint="eastAsia" w:ascii="仿宋" w:hAnsi="仿宋" w:eastAsia="仿宋" w:cs="仿宋"/>
          <w:color w:val="000000"/>
          <w:sz w:val="28"/>
          <w:szCs w:val="28"/>
          <w:lang w:val="en-US" w:eastAsia="zh-CN"/>
        </w:rPr>
        <w:t>门到门</w:t>
      </w:r>
      <w:r>
        <w:rPr>
          <w:rFonts w:hint="eastAsia" w:ascii="仿宋" w:hAnsi="仿宋" w:eastAsia="仿宋" w:cs="仿宋"/>
          <w:color w:val="000000"/>
          <w:sz w:val="28"/>
          <w:szCs w:val="28"/>
        </w:rPr>
        <w:t>往返</w:t>
      </w:r>
      <w:r>
        <w:rPr>
          <w:rFonts w:hint="eastAsia" w:ascii="仿宋" w:hAnsi="仿宋" w:eastAsia="仿宋" w:cs="仿宋"/>
          <w:color w:val="000000"/>
          <w:sz w:val="28"/>
          <w:szCs w:val="28"/>
          <w:lang w:val="en-US" w:eastAsia="zh-CN"/>
        </w:rPr>
        <w:t>运输服务</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含运输保险、展期保险、包装服务</w:t>
      </w:r>
      <w:bookmarkStart w:id="19" w:name="_GoBack"/>
      <w:bookmarkEnd w:id="19"/>
      <w:r>
        <w:rPr>
          <w:rFonts w:hint="eastAsia" w:ascii="仿宋" w:hAnsi="仿宋" w:eastAsia="仿宋" w:cs="仿宋"/>
          <w:color w:val="000000"/>
          <w:sz w:val="28"/>
          <w:szCs w:val="28"/>
          <w:lang w:eastAsia="zh-CN"/>
        </w:rPr>
        <w:t>）。</w:t>
      </w:r>
    </w:p>
    <w:p>
      <w:pPr>
        <w:spacing w:line="600" w:lineRule="exact"/>
        <w:ind w:firstLine="562" w:firstLineChars="200"/>
        <w:rPr>
          <w:rFonts w:hint="eastAsia" w:ascii="Times New Roman" w:hAnsi="Times New Roman" w:eastAsia="仿宋_GB2312" w:cs="Times New Roman"/>
          <w:b/>
          <w:bCs/>
          <w:kern w:val="0"/>
          <w:sz w:val="28"/>
          <w:szCs w:val="28"/>
          <w:lang w:val="en-US" w:eastAsia="zh-CN"/>
        </w:rPr>
      </w:pPr>
      <w:r>
        <w:rPr>
          <w:rFonts w:hint="eastAsia" w:ascii="Times New Roman" w:hAnsi="Times New Roman" w:eastAsia="仿宋_GB2312" w:cs="Times New Roman"/>
          <w:b/>
          <w:bCs/>
          <w:kern w:val="0"/>
          <w:sz w:val="28"/>
          <w:szCs w:val="28"/>
          <w:lang w:val="en-US" w:eastAsia="zh-CN"/>
        </w:rPr>
        <w:t>2、技术条款要求</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承诺可以按时保质完成相关展品包装、运输工作，并配备好相应人员。</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承诺对于采购人（何香凝美术馆）指派的任务，可以无条件的完全响应，保证项目的顺利完成，不因项目的大小而拒绝接受工作。</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承诺在项目操作过程中，严格按照专业标准安全实施操作。杜绝非专业人员、非专业设备介入项目操作。杜绝与非采购人项目共用项目资源，包括人员、车辆以及临时存储库房。</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保证使用专业展品运输车辆，配备避震、车内消防设备、GPS定位及防盗功能，GPS功能向何香凝美术馆负责人开放查看权限。</w:t>
      </w:r>
    </w:p>
    <w:p>
      <w:pPr>
        <w:spacing w:line="360" w:lineRule="auto"/>
        <w:ind w:firstLine="560" w:firstLineChars="200"/>
        <w:jc w:val="left"/>
        <w:rPr>
          <w:rFonts w:hint="eastAsia" w:ascii="仿宋" w:hAnsi="仿宋" w:eastAsia="仿宋" w:cs="仿宋"/>
          <w:color w:val="000000"/>
          <w:sz w:val="28"/>
          <w:szCs w:val="28"/>
          <w:lang w:eastAsia="zh-CN"/>
        </w:rPr>
      </w:pPr>
    </w:p>
    <w:p>
      <w:pPr>
        <w:numPr>
          <w:ilvl w:val="0"/>
          <w:numId w:val="2"/>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lang w:val="en-US" w:eastAsia="zh-CN"/>
        </w:rPr>
        <w:t>运输服务（含运输、展期保险）报价</w:t>
      </w:r>
      <w:r>
        <w:rPr>
          <w:rFonts w:hint="eastAsia" w:ascii="宋体" w:hAnsi="宋体" w:eastAsia="宋体" w:cs="宋体"/>
          <w:b/>
          <w:sz w:val="28"/>
          <w:szCs w:val="28"/>
        </w:rPr>
        <w:t>表</w:t>
      </w:r>
    </w:p>
    <w:p>
      <w:pPr>
        <w:pStyle w:val="3"/>
        <w:widowControl/>
        <w:spacing w:beforeAutospacing="0" w:afterAutospacing="0" w:line="360" w:lineRule="auto"/>
        <w:ind w:firstLine="42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4"/>
        <w:tblW w:w="14580" w:type="dxa"/>
        <w:tblInd w:w="93" w:type="dxa"/>
        <w:tblLayout w:type="autofit"/>
        <w:tblCellMar>
          <w:top w:w="0" w:type="dxa"/>
          <w:left w:w="108" w:type="dxa"/>
          <w:bottom w:w="0" w:type="dxa"/>
          <w:right w:w="108" w:type="dxa"/>
        </w:tblCellMar>
      </w:tblPr>
      <w:tblGrid>
        <w:gridCol w:w="14580"/>
      </w:tblGrid>
      <w:tr>
        <w:tblPrEx>
          <w:tblCellMar>
            <w:top w:w="0" w:type="dxa"/>
            <w:left w:w="108" w:type="dxa"/>
            <w:bottom w:w="0" w:type="dxa"/>
            <w:right w:w="108" w:type="dxa"/>
          </w:tblCellMar>
        </w:tblPrEx>
        <w:trPr>
          <w:trHeight w:val="462" w:hRule="atLeast"/>
        </w:trPr>
        <w:tc>
          <w:tcPr>
            <w:tcW w:w="14580"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2"/>
                <w:szCs w:val="22"/>
              </w:rPr>
            </w:pPr>
            <w:r>
              <w:rPr>
                <w:rFonts w:hint="eastAsia" w:ascii="楷体_GB2312" w:hAnsi="宋体" w:eastAsia="楷体_GB2312" w:cs="宋体"/>
                <w:kern w:val="0"/>
                <w:sz w:val="22"/>
                <w:szCs w:val="22"/>
              </w:rPr>
              <w:t xml:space="preserve">           </w:t>
            </w:r>
          </w:p>
          <w:tbl>
            <w:tblPr>
              <w:tblStyle w:val="4"/>
              <w:tblW w:w="9940" w:type="dxa"/>
              <w:tblInd w:w="0" w:type="dxa"/>
              <w:tblLayout w:type="autofit"/>
              <w:tblCellMar>
                <w:top w:w="0" w:type="dxa"/>
                <w:left w:w="108" w:type="dxa"/>
                <w:bottom w:w="0" w:type="dxa"/>
                <w:right w:w="108" w:type="dxa"/>
              </w:tblCellMar>
            </w:tblPr>
            <w:tblGrid>
              <w:gridCol w:w="821"/>
              <w:gridCol w:w="2230"/>
              <w:gridCol w:w="1012"/>
              <w:gridCol w:w="870"/>
              <w:gridCol w:w="1427"/>
              <w:gridCol w:w="1016"/>
              <w:gridCol w:w="1562"/>
              <w:gridCol w:w="1002"/>
            </w:tblGrid>
            <w:tr>
              <w:tblPrEx>
                <w:tblCellMar>
                  <w:top w:w="0" w:type="dxa"/>
                  <w:left w:w="108" w:type="dxa"/>
                  <w:bottom w:w="0" w:type="dxa"/>
                  <w:right w:w="108" w:type="dxa"/>
                </w:tblCellMar>
              </w:tblPrEx>
              <w:trPr>
                <w:trHeight w:val="692"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b/>
                      <w:bCs/>
                      <w:kern w:val="0"/>
                      <w:sz w:val="44"/>
                      <w:szCs w:val="44"/>
                    </w:rPr>
                  </w:pPr>
                  <w:r>
                    <w:rPr>
                      <w:rFonts w:hint="eastAsia" w:ascii="宋体" w:hAnsi="宋体" w:eastAsia="宋体" w:cs="宋体"/>
                      <w:b/>
                      <w:sz w:val="44"/>
                      <w:szCs w:val="44"/>
                      <w:lang w:val="en-US" w:eastAsia="zh-CN"/>
                    </w:rPr>
                    <w:t>运输服务（含运输、展期保险）</w:t>
                  </w:r>
                  <w:r>
                    <w:rPr>
                      <w:rFonts w:hint="eastAsia" w:ascii="楷体_GB2312" w:hAnsi="宋体" w:eastAsia="楷体_GB2312" w:cs="宋体"/>
                      <w:b/>
                      <w:bCs/>
                      <w:kern w:val="0"/>
                      <w:sz w:val="44"/>
                      <w:szCs w:val="44"/>
                    </w:rPr>
                    <w:t>报价表</w:t>
                  </w:r>
                </w:p>
              </w:tc>
            </w:tr>
            <w:tr>
              <w:tblPrEx>
                <w:tblCellMar>
                  <w:top w:w="0" w:type="dxa"/>
                  <w:left w:w="108" w:type="dxa"/>
                  <w:bottom w:w="0" w:type="dxa"/>
                  <w:right w:w="108" w:type="dxa"/>
                </w:tblCellMar>
              </w:tblPrEx>
              <w:trPr>
                <w:trHeight w:val="463"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kern w:val="0"/>
                      <w:sz w:val="22"/>
                      <w:szCs w:val="22"/>
                    </w:rPr>
                  </w:pPr>
                </w:p>
              </w:tc>
            </w:tr>
            <w:tr>
              <w:tblPrEx>
                <w:tblCellMar>
                  <w:top w:w="0" w:type="dxa"/>
                  <w:left w:w="108" w:type="dxa"/>
                  <w:bottom w:w="0" w:type="dxa"/>
                  <w:right w:w="108" w:type="dxa"/>
                </w:tblCellMar>
              </w:tblPrEx>
              <w:trPr>
                <w:gridAfter w:val="1"/>
                <w:wAfter w:w="1002" w:type="dxa"/>
                <w:trHeight w:val="995"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序号</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分部分项工程名称</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数量</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单位</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bCs/>
                      <w:kern w:val="0"/>
                      <w:sz w:val="24"/>
                      <w:lang w:val="en-US"/>
                    </w:rPr>
                  </w:pPr>
                  <w:r>
                    <w:rPr>
                      <w:rFonts w:hint="eastAsia" w:ascii="仿宋" w:hAnsi="仿宋" w:eastAsia="仿宋" w:cs="仿宋"/>
                      <w:b/>
                      <w:color w:val="000000"/>
                      <w:kern w:val="0"/>
                      <w:sz w:val="24"/>
                      <w:lang w:val="en-US" w:eastAsia="zh-CN"/>
                    </w:rPr>
                    <w:t>运输服务费</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eastAsia" w:ascii="仿宋" w:hAnsi="仿宋" w:eastAsia="仿宋" w:cs="仿宋"/>
                      <w:b/>
                      <w:bCs/>
                      <w:kern w:val="0"/>
                      <w:sz w:val="24"/>
                      <w:lang w:val="en-US" w:eastAsia="zh-CN"/>
                    </w:rPr>
                  </w:pPr>
                  <w:r>
                    <w:rPr>
                      <w:rFonts w:hint="eastAsia" w:ascii="仿宋" w:hAnsi="仿宋" w:eastAsia="仿宋" w:cs="仿宋"/>
                      <w:b/>
                      <w:color w:val="000000"/>
                      <w:kern w:val="0"/>
                      <w:sz w:val="24"/>
                      <w:lang w:val="en-US" w:eastAsia="zh-CN"/>
                    </w:rPr>
                    <w:t>总保</w:t>
                  </w:r>
                  <w:r>
                    <w:rPr>
                      <w:rFonts w:hint="eastAsia" w:ascii="仿宋" w:hAnsi="仿宋" w:eastAsia="仿宋" w:cs="仿宋"/>
                      <w:b/>
                      <w:color w:val="000000"/>
                      <w:kern w:val="0"/>
                      <w:sz w:val="24"/>
                    </w:rPr>
                    <w:t>价</w:t>
                  </w: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工艺及材料说明</w:t>
                  </w:r>
                </w:p>
              </w:tc>
            </w:tr>
            <w:tr>
              <w:tblPrEx>
                <w:tblCellMar>
                  <w:top w:w="0" w:type="dxa"/>
                  <w:left w:w="108" w:type="dxa"/>
                  <w:bottom w:w="0" w:type="dxa"/>
                  <w:right w:w="108" w:type="dxa"/>
                </w:tblCellMar>
              </w:tblPrEx>
              <w:trPr>
                <w:gridAfter w:val="1"/>
                <w:wAfter w:w="1002" w:type="dxa"/>
                <w:trHeight w:val="490"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r>
                    <w:rPr>
                      <w:rFonts w:hint="eastAsia" w:ascii="仿宋" w:hAnsi="仿宋" w:eastAsia="仿宋" w:cs="仿宋"/>
                      <w:b/>
                      <w:color w:val="000000"/>
                      <w:kern w:val="0"/>
                      <w:sz w:val="24"/>
                    </w:rPr>
                    <w:t>一</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南京博物院借展藏品</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80</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件</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szCs w:val="24"/>
                      <w:lang w:val="en-US" w:eastAsia="zh-CN" w:bidi="ar-SA"/>
                    </w:rPr>
                  </w:pPr>
                  <w:r>
                    <w:rPr>
                      <w:rFonts w:hint="eastAsia" w:ascii="仿宋" w:hAnsi="仿宋" w:eastAsia="仿宋" w:cs="仿宋"/>
                      <w:color w:val="000000"/>
                      <w:sz w:val="28"/>
                      <w:szCs w:val="28"/>
                      <w:lang w:val="en-US" w:eastAsia="zh-CN"/>
                    </w:rPr>
                    <w:t>11000</w:t>
                  </w:r>
                  <w:r>
                    <w:rPr>
                      <w:rFonts w:hint="eastAsia"/>
                      <w:b/>
                      <w:bCs/>
                    </w:rPr>
                    <w:t>万</w:t>
                  </w: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b/>
                      <w:bCs/>
                      <w:kern w:val="0"/>
                      <w:sz w:val="24"/>
                    </w:rPr>
                  </w:pPr>
                </w:p>
              </w:tc>
              <w:tc>
                <w:tcPr>
                  <w:tcW w:w="2230"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b/>
                      <w:bCs/>
                      <w:kern w:val="0"/>
                      <w:sz w:val="24"/>
                      <w:lang w:val="en-US" w:eastAsia="zh-CN"/>
                    </w:rPr>
                  </w:pPr>
                </w:p>
              </w:tc>
              <w:tc>
                <w:tcPr>
                  <w:tcW w:w="1012"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kern w:val="0"/>
                      <w:sz w:val="24"/>
                      <w:lang w:val="en-US" w:eastAsia="zh-CN"/>
                    </w:rPr>
                  </w:pPr>
                </w:p>
              </w:tc>
              <w:tc>
                <w:tcPr>
                  <w:tcW w:w="870" w:type="dxa"/>
                  <w:tcBorders>
                    <w:top w:val="nil"/>
                    <w:left w:val="nil"/>
                    <w:bottom w:val="single" w:color="auto" w:sz="4" w:space="0"/>
                    <w:right w:val="single" w:color="auto" w:sz="4" w:space="0"/>
                  </w:tcBorders>
                  <w:shd w:val="clear" w:color="000000" w:fill="FFFFFF"/>
                  <w:vAlign w:val="center"/>
                </w:tcPr>
                <w:p>
                  <w:pPr>
                    <w:rPr>
                      <w:rFonts w:hint="eastAsia" w:ascii="仿宋" w:hAnsi="仿宋" w:eastAsia="仿宋" w:cs="仿宋"/>
                      <w:kern w:val="0"/>
                      <w:sz w:val="24"/>
                      <w:lang w:val="en-US" w:eastAsia="zh-CN"/>
                    </w:rPr>
                  </w:pPr>
                </w:p>
              </w:tc>
              <w:tc>
                <w:tcPr>
                  <w:tcW w:w="1427"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bl>
          <w:p>
            <w:pPr>
              <w:widowControl/>
              <w:jc w:val="center"/>
              <w:rPr>
                <w:rFonts w:ascii="楷体_GB2312" w:hAnsi="宋体" w:eastAsia="楷体_GB2312" w:cs="宋体"/>
                <w:kern w:val="0"/>
                <w:sz w:val="22"/>
                <w:szCs w:val="22"/>
              </w:rPr>
            </w:pPr>
          </w:p>
        </w:tc>
      </w:tr>
    </w:tbl>
    <w:p>
      <w:pPr>
        <w:spacing w:line="600" w:lineRule="exact"/>
        <w:rPr>
          <w:rFonts w:ascii="仿宋_GB2312" w:hAnsi="仿宋_GB2312" w:eastAsia="仿宋_GB2312" w:cs="仿宋_GB2312"/>
          <w:b/>
          <w:sz w:val="28"/>
          <w:szCs w:val="28"/>
          <w:u w:val="single"/>
        </w:rPr>
      </w:pPr>
    </w:p>
    <w:p>
      <w:pPr>
        <w:spacing w:line="600" w:lineRule="exact"/>
        <w:ind w:firstLine="562" w:firstLineChars="200"/>
        <w:outlineLvl w:val="1"/>
        <w:rPr>
          <w:rFonts w:ascii="宋体" w:hAnsi="宋体" w:eastAsia="宋体" w:cs="宋体"/>
          <w:b/>
          <w:sz w:val="28"/>
          <w:szCs w:val="28"/>
        </w:rPr>
      </w:pPr>
      <w:bookmarkStart w:id="11" w:name="_Toc419986983"/>
      <w:r>
        <w:rPr>
          <w:rFonts w:hint="eastAsia" w:ascii="宋体" w:hAnsi="宋体" w:eastAsia="宋体" w:cs="宋体"/>
          <w:b/>
          <w:sz w:val="28"/>
          <w:szCs w:val="28"/>
        </w:rPr>
        <w:t>四、商务要求</w:t>
      </w:r>
      <w:bookmarkEnd w:id="11"/>
    </w:p>
    <w:p>
      <w:pPr>
        <w:spacing w:line="600" w:lineRule="exact"/>
        <w:ind w:firstLine="562" w:firstLineChars="200"/>
        <w:outlineLvl w:val="1"/>
        <w:rPr>
          <w:rFonts w:ascii="仿宋_GB2312" w:hAnsi="仿宋_GB2312" w:eastAsia="仿宋_GB2312" w:cs="仿宋_GB2312"/>
          <w:b/>
          <w:sz w:val="28"/>
          <w:szCs w:val="28"/>
        </w:rPr>
      </w:pPr>
      <w:bookmarkStart w:id="12" w:name="_Toc419986864"/>
      <w:bookmarkStart w:id="13" w:name="_Toc419986984"/>
      <w:r>
        <w:rPr>
          <w:rFonts w:hint="eastAsia" w:ascii="仿宋_GB2312" w:hAnsi="仿宋_GB2312" w:eastAsia="仿宋_GB2312" w:cs="仿宋_GB2312"/>
          <w:b/>
          <w:sz w:val="28"/>
          <w:szCs w:val="28"/>
        </w:rPr>
        <w:t>（一）服务地点与时间</w:t>
      </w:r>
      <w:bookmarkEnd w:id="12"/>
      <w:bookmarkEnd w:id="13"/>
    </w:p>
    <w:p>
      <w:pPr>
        <w:spacing w:line="600" w:lineRule="exact"/>
        <w:ind w:left="1130" w:leftChars="337" w:hanging="422" w:hangingChars="151"/>
        <w:rPr>
          <w:rFonts w:hint="default" w:ascii="仿宋_GB2312" w:hAnsi="仿宋_GB2312" w:eastAsia="仿宋_GB2312" w:cs="仿宋_GB2312"/>
          <w:sz w:val="28"/>
          <w:szCs w:val="28"/>
          <w:lang w:val="en-US" w:eastAsia="zh-CN"/>
        </w:rPr>
      </w:pPr>
      <w:bookmarkStart w:id="14"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w:t>
      </w:r>
      <w:bookmarkEnd w:id="14"/>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left="1130" w:leftChars="337" w:hanging="422" w:hangingChars="151"/>
        <w:rPr>
          <w:rFonts w:ascii="仿宋_GB2312" w:hAnsi="仿宋_GB2312" w:eastAsia="仿宋_GB2312" w:cs="仿宋_GB2312"/>
          <w:sz w:val="28"/>
          <w:szCs w:val="28"/>
        </w:rPr>
      </w:pPr>
      <w:bookmarkStart w:id="15"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15"/>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firstLine="562" w:firstLineChars="200"/>
        <w:outlineLvl w:val="1"/>
        <w:rPr>
          <w:rFonts w:ascii="仿宋_GB2312" w:hAnsi="仿宋_GB2312" w:eastAsia="仿宋_GB2312" w:cs="仿宋_GB2312"/>
          <w:b/>
          <w:sz w:val="28"/>
          <w:szCs w:val="28"/>
        </w:rPr>
      </w:pPr>
      <w:bookmarkStart w:id="16" w:name="_Toc419986987"/>
      <w:r>
        <w:rPr>
          <w:rFonts w:hint="eastAsia" w:ascii="仿宋_GB2312" w:hAnsi="仿宋_GB2312" w:eastAsia="仿宋_GB2312" w:cs="仿宋_GB2312"/>
          <w:b/>
          <w:sz w:val="28"/>
          <w:szCs w:val="28"/>
        </w:rPr>
        <w:t>（二）付款条件</w:t>
      </w:r>
      <w:bookmarkEnd w:id="16"/>
    </w:p>
    <w:p>
      <w:pPr>
        <w:spacing w:line="600" w:lineRule="exact"/>
        <w:ind w:firstLine="840" w:firstLineChars="300"/>
        <w:outlineLvl w:val="1"/>
        <w:rPr>
          <w:rFonts w:hint="default" w:ascii="仿宋" w:hAnsi="仿宋" w:eastAsia="仿宋" w:cs="仿宋"/>
          <w:b/>
          <w:sz w:val="28"/>
          <w:szCs w:val="28"/>
          <w:lang w:val="en-US" w:eastAsia="zh-CN"/>
        </w:rPr>
      </w:pPr>
      <w:bookmarkStart w:id="17" w:name="_Toc419986989"/>
      <w:r>
        <w:rPr>
          <w:rFonts w:hint="eastAsia" w:ascii="仿宋" w:hAnsi="仿宋" w:eastAsia="仿宋" w:cs="仿宋"/>
          <w:sz w:val="28"/>
          <w:szCs w:val="28"/>
          <w:lang w:val="en-US" w:eastAsia="zh-CN"/>
        </w:rPr>
        <w:t>1、</w:t>
      </w:r>
      <w:bookmarkEnd w:id="17"/>
      <w:r>
        <w:rPr>
          <w:rFonts w:hint="eastAsia" w:ascii="仿宋" w:hAnsi="仿宋" w:eastAsia="仿宋" w:cs="仿宋"/>
          <w:sz w:val="28"/>
          <w:szCs w:val="28"/>
          <w:lang w:val="en-US" w:eastAsia="zh-CN"/>
        </w:rPr>
        <w:t>缴付以合同为准。</w:t>
      </w:r>
    </w:p>
    <w:p>
      <w:pPr>
        <w:spacing w:line="600" w:lineRule="exact"/>
        <w:ind w:firstLine="562" w:firstLineChars="200"/>
        <w:outlineLvl w:val="1"/>
        <w:rPr>
          <w:rFonts w:hint="eastAsia" w:ascii="仿宋_GB2312" w:hAnsi="仿宋_GB2312" w:eastAsia="仿宋_GB2312" w:cs="仿宋_GB2312"/>
          <w:b/>
          <w:sz w:val="28"/>
          <w:szCs w:val="28"/>
        </w:rPr>
      </w:pPr>
      <w:bookmarkStart w:id="18" w:name="_Toc419986991"/>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val="en-US" w:eastAsia="zh-CN"/>
        </w:rPr>
        <w:t>三</w:t>
      </w:r>
      <w:r>
        <w:rPr>
          <w:rFonts w:hint="eastAsia" w:ascii="仿宋_GB2312" w:hAnsi="仿宋_GB2312" w:eastAsia="仿宋_GB2312" w:cs="仿宋_GB2312"/>
          <w:b/>
          <w:sz w:val="28"/>
          <w:szCs w:val="28"/>
        </w:rPr>
        <w:t>）服务保障及相应的时间要求</w:t>
      </w:r>
      <w:bookmarkEnd w:id="18"/>
    </w:p>
    <w:p>
      <w:pPr>
        <w:spacing w:line="360" w:lineRule="auto"/>
        <w:ind w:left="1398" w:leftChars="399" w:hanging="560" w:hangingChars="200"/>
        <w:rPr>
          <w:rFonts w:hint="default" w:ascii="仿宋" w:hAnsi="仿宋" w:eastAsia="仿宋" w:cs="仿宋"/>
          <w:sz w:val="28"/>
          <w:szCs w:val="28"/>
          <w:lang w:val="en-US"/>
        </w:rPr>
      </w:pPr>
      <w:r>
        <w:rPr>
          <w:rFonts w:hint="eastAsia" w:ascii="仿宋" w:hAnsi="仿宋" w:eastAsia="仿宋" w:cs="仿宋"/>
          <w:sz w:val="28"/>
          <w:szCs w:val="28"/>
          <w:lang w:val="en-US" w:eastAsia="zh-CN"/>
        </w:rPr>
        <w:t>1、本保险合同成立后，保险公司应当及时向投保人签发保险凭证。</w:t>
      </w:r>
    </w:p>
    <w:p>
      <w:pPr>
        <w:numPr>
          <w:ilvl w:val="0"/>
          <w:numId w:val="0"/>
        </w:numPr>
        <w:spacing w:line="360"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2、保险公司认为被保险人提供的有关索赔的证明和资料不完整的，应当及时通知投保人、被保险人补充提供。</w:t>
      </w:r>
    </w:p>
    <w:p>
      <w:pPr>
        <w:numPr>
          <w:ilvl w:val="0"/>
          <w:numId w:val="0"/>
        </w:numPr>
        <w:spacing w:line="288"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3、保险公司收到保险人的赔偿保险金的请求后，应当及时作出是否属于保险责任的核定；情形复杂的，应当在三十日内作出核定，但保险合同另有约定的除外</w:t>
      </w:r>
      <w:r>
        <w:rPr>
          <w:rFonts w:hint="eastAsia" w:ascii="仿宋" w:hAnsi="仿宋" w:eastAsia="仿宋" w:cs="仿宋"/>
          <w:sz w:val="28"/>
          <w:szCs w:val="28"/>
        </w:rPr>
        <w:t xml:space="preserve">。 </w:t>
      </w:r>
    </w:p>
    <w:p>
      <w:pPr>
        <w:numPr>
          <w:ilvl w:val="0"/>
          <w:numId w:val="0"/>
        </w:numPr>
        <w:spacing w:line="288" w:lineRule="auto"/>
        <w:ind w:leftChars="0"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4、保险公司自收到赔偿的请求和有关证明、资料之日起六十日内，对其赔偿金数额不能确定的，应当根据已有证明和资料可以确定的数额先予支付；保险公司最终确定赔偿的数额后，应当支付相应的差额。</w:t>
      </w:r>
    </w:p>
    <w:p>
      <w:pPr>
        <w:spacing w:line="360" w:lineRule="auto"/>
        <w:rPr>
          <w:rFonts w:hint="eastAsia" w:ascii="宋体" w:hAnsi="宋体" w:cs="宋体"/>
          <w:sz w:val="24"/>
        </w:rPr>
      </w:pPr>
    </w:p>
    <w:p>
      <w:pPr>
        <w:spacing w:line="600" w:lineRule="exact"/>
        <w:ind w:firstLine="562" w:firstLineChars="200"/>
        <w:outlineLvl w:val="1"/>
        <w:rPr>
          <w:rFonts w:hint="eastAsia" w:ascii="仿宋_GB2312" w:hAnsi="仿宋_GB2312" w:eastAsia="仿宋_GB2312" w:cs="仿宋_GB2312"/>
          <w:b/>
          <w:sz w:val="28"/>
          <w:szCs w:val="28"/>
        </w:rPr>
      </w:pPr>
    </w:p>
    <w:p>
      <w:pPr>
        <w:spacing w:line="600" w:lineRule="exact"/>
        <w:ind w:firstLine="560" w:firstLineChars="200"/>
        <w:rPr>
          <w:rFonts w:ascii="仿宋_GB2312" w:hAnsi="仿宋_GB2312" w:eastAsia="仿宋_GB2312" w:cs="仿宋_GB2312"/>
          <w:sz w:val="28"/>
          <w:szCs w:val="28"/>
        </w:rPr>
      </w:pPr>
    </w:p>
    <w:p/>
    <w:p/>
    <w:p>
      <w:pPr>
        <w:jc w:val="right"/>
        <w:rPr>
          <w:rFonts w:hint="eastAsia"/>
          <w:sz w:val="28"/>
          <w:szCs w:val="28"/>
          <w:lang w:val="en-US" w:eastAsia="zh-CN"/>
        </w:rPr>
      </w:pPr>
      <w:r>
        <w:rPr>
          <w:rFonts w:hint="eastAsia"/>
          <w:sz w:val="28"/>
          <w:szCs w:val="28"/>
          <w:lang w:val="en-US" w:eastAsia="zh-CN"/>
        </w:rPr>
        <w:t>办公室</w:t>
      </w:r>
    </w:p>
    <w:p>
      <w:pPr>
        <w:jc w:val="right"/>
        <w:rPr>
          <w:rFonts w:hint="default"/>
          <w:lang w:val="en-US" w:eastAsia="zh-CN"/>
        </w:rPr>
      </w:pPr>
      <w:r>
        <w:rPr>
          <w:rFonts w:hint="eastAsia"/>
          <w:sz w:val="28"/>
          <w:szCs w:val="28"/>
          <w:lang w:val="en-US" w:eastAsia="zh-CN"/>
        </w:rPr>
        <w:t>2022.5.5</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B3ADF"/>
    <w:rsid w:val="047123DA"/>
    <w:rsid w:val="048C3031"/>
    <w:rsid w:val="04B841D7"/>
    <w:rsid w:val="04E237B5"/>
    <w:rsid w:val="076B13BD"/>
    <w:rsid w:val="0F543F6E"/>
    <w:rsid w:val="12FB2291"/>
    <w:rsid w:val="219B0B3F"/>
    <w:rsid w:val="242F5603"/>
    <w:rsid w:val="27587C00"/>
    <w:rsid w:val="2B3C3C0E"/>
    <w:rsid w:val="34574243"/>
    <w:rsid w:val="39705140"/>
    <w:rsid w:val="3AF43BA8"/>
    <w:rsid w:val="3B25185F"/>
    <w:rsid w:val="420447D6"/>
    <w:rsid w:val="438D2E7E"/>
    <w:rsid w:val="4705405A"/>
    <w:rsid w:val="4887218A"/>
    <w:rsid w:val="4BA06F78"/>
    <w:rsid w:val="50D261DE"/>
    <w:rsid w:val="51624F0A"/>
    <w:rsid w:val="5290168B"/>
    <w:rsid w:val="55A04838"/>
    <w:rsid w:val="5D8932C1"/>
    <w:rsid w:val="61042335"/>
    <w:rsid w:val="61A70872"/>
    <w:rsid w:val="6B2038C8"/>
    <w:rsid w:val="736E3AE4"/>
    <w:rsid w:val="74B97912"/>
    <w:rsid w:val="777E2AB7"/>
    <w:rsid w:val="7C1D10FE"/>
    <w:rsid w:val="7EFB448F"/>
    <w:rsid w:val="7F1243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2022-05-05T02:35:32Z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E47D406D744B460DA127713C11DBA272</vt:lpwstr>
  </property>
</Properties>
</file>