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450" w:line="450" w:lineRule="atLeast"/>
        <w:jc w:val="center"/>
        <w:rPr>
          <w:rFonts w:hint="default" w:ascii="方正小标宋简体" w:hAnsi="方正小标宋简体" w:eastAsia="方正小标宋简体" w:cs="方正小标宋简体"/>
          <w:sz w:val="44"/>
          <w:szCs w:val="44"/>
        </w:rPr>
      </w:pPr>
      <w:bookmarkStart w:id="0" w:name="_Toc101951257"/>
      <w:bookmarkStart w:id="1" w:name="_Toc101775124"/>
      <w:bookmarkStart w:id="2" w:name="_Toc419986980"/>
      <w:bookmarkStart w:id="3" w:name="_Toc175644388"/>
      <w:bookmarkStart w:id="4" w:name="_Toc101843124"/>
      <w:bookmarkStart w:id="5" w:name="_Toc101771371"/>
      <w:r>
        <w:rPr>
          <w:rFonts w:hint="eastAsia" w:ascii="方正小标宋简体" w:hAnsi="方正小标宋简体" w:eastAsia="方正小标宋简体" w:cs="方正小标宋简体"/>
          <w:sz w:val="44"/>
          <w:szCs w:val="44"/>
        </w:rPr>
        <w:t>“独向天涯寻画本—何香凝与南洋华侨的翰墨因缘”展厅搭建工程</w:t>
      </w:r>
      <w:r>
        <w:rPr>
          <w:rFonts w:hint="eastAsia" w:ascii="方正小标宋简体" w:hAnsi="方正小标宋简体" w:eastAsia="方正小标宋简体" w:cs="方正小标宋简体"/>
          <w:sz w:val="44"/>
          <w:szCs w:val="44"/>
          <w:lang w:val="en-US" w:eastAsia="zh-CN"/>
        </w:rPr>
        <w:t xml:space="preserve"> </w:t>
      </w:r>
      <w:r>
        <w:rPr>
          <w:rFonts w:ascii="方正小标宋简体" w:hAnsi="方正小标宋简体" w:eastAsia="方正小标宋简体" w:cs="方正小标宋简体"/>
          <w:sz w:val="44"/>
          <w:szCs w:val="44"/>
        </w:rPr>
        <w:t>需求</w:t>
      </w:r>
      <w:bookmarkEnd w:id="0"/>
      <w:bookmarkEnd w:id="1"/>
      <w:bookmarkEnd w:id="2"/>
      <w:bookmarkEnd w:id="3"/>
      <w:bookmarkEnd w:id="4"/>
      <w:bookmarkEnd w:id="5"/>
      <w:bookmarkStart w:id="6" w:name="_Toc37331081"/>
      <w:bookmarkStart w:id="7" w:name="_Toc46308528"/>
      <w:bookmarkStart w:id="8" w:name="_Toc40762371"/>
      <w:bookmarkStart w:id="9" w:name="_Toc37245277"/>
      <w:bookmarkStart w:id="10" w:name="_Toc46308684"/>
      <w:bookmarkStart w:id="11" w:name="_Toc37569520"/>
      <w:bookmarkStart w:id="12" w:name="_Toc37331039"/>
      <w:bookmarkStart w:id="13" w:name="_Toc37581421"/>
      <w:bookmarkStart w:id="14" w:name="_Toc37663392"/>
      <w:r>
        <w:rPr>
          <w:rFonts w:ascii="方正小标宋简体" w:hAnsi="方正小标宋简体" w:eastAsia="方正小标宋简体" w:cs="方正小标宋简体"/>
          <w:sz w:val="44"/>
          <w:szCs w:val="44"/>
        </w:rPr>
        <w:t>书</w:t>
      </w:r>
    </w:p>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pStyle w:val="7"/>
        <w:widowControl/>
        <w:spacing w:before="150" w:beforeAutospacing="0" w:after="150" w:afterAutospacing="0" w:line="375" w:lineRule="atLeast"/>
        <w:ind w:left="426" w:hanging="425" w:hangingChars="152"/>
        <w:jc w:val="both"/>
        <w:textAlignment w:val="baseline"/>
        <w:rPr>
          <w:rFonts w:hint="eastAsia" w:ascii="仿宋" w:hAnsi="仿宋" w:eastAsia="仿宋" w:cs="仿宋"/>
          <w:color w:val="000000"/>
          <w:sz w:val="28"/>
          <w:szCs w:val="28"/>
          <w:lang w:eastAsia="zh-CN"/>
        </w:rPr>
      </w:pPr>
      <w:r>
        <w:rPr>
          <w:rFonts w:hint="eastAsia" w:ascii="仿宋" w:hAnsi="仿宋" w:eastAsia="仿宋" w:cs="仿宋"/>
          <w:sz w:val="28"/>
          <w:szCs w:val="28"/>
        </w:rPr>
        <w:t>1、（1）</w:t>
      </w:r>
      <w:r>
        <w:rPr>
          <w:rFonts w:hint="eastAsia" w:ascii="仿宋" w:hAnsi="仿宋" w:eastAsia="仿宋" w:cs="仿宋"/>
          <w:color w:val="000000"/>
          <w:sz w:val="28"/>
          <w:szCs w:val="28"/>
        </w:rPr>
        <w:t>投标人必须具有建设行政主管部门颁发的建筑装修装饰工程专业承包贰级（或以上）资质（提交证书复印件），并在人员、设备、资金等方面具备相应的施工能力。</w:t>
      </w:r>
    </w:p>
    <w:p>
      <w:pPr>
        <w:pStyle w:val="7"/>
        <w:widowControl/>
        <w:spacing w:before="150" w:beforeAutospacing="0" w:after="150" w:afterAutospacing="0" w:line="375" w:lineRule="atLeast"/>
        <w:ind w:left="426" w:hanging="425" w:hangingChars="152"/>
        <w:jc w:val="both"/>
        <w:textAlignment w:val="baseline"/>
        <w:rPr>
          <w:rFonts w:ascii="仿宋" w:hAnsi="仿宋" w:eastAsia="仿宋" w:cs="仿宋"/>
          <w:color w:val="000000"/>
          <w:sz w:val="28"/>
          <w:szCs w:val="28"/>
        </w:rPr>
      </w:pPr>
      <w:r>
        <w:rPr>
          <w:rFonts w:hint="eastAsia" w:ascii="仿宋" w:hAnsi="仿宋" w:eastAsia="仿宋" w:cs="仿宋"/>
          <w:color w:val="000000"/>
          <w:sz w:val="28"/>
          <w:szCs w:val="28"/>
        </w:rPr>
        <w:t>（2）投标人具有建设行政主管部门颁发的在有效期内的安全生产许可证。</w:t>
      </w:r>
    </w:p>
    <w:p>
      <w:pPr>
        <w:pStyle w:val="7"/>
        <w:widowControl/>
        <w:spacing w:before="150" w:beforeAutospacing="0" w:after="150" w:afterAutospacing="0" w:line="375" w:lineRule="atLeast"/>
        <w:ind w:left="426" w:hanging="425" w:hangingChars="152"/>
        <w:jc w:val="both"/>
        <w:textAlignment w:val="baseline"/>
        <w:rPr>
          <w:rFonts w:ascii="仿宋_GB2312" w:hAnsi="仿宋_GB2312" w:eastAsia="仿宋_GB2312" w:cs="仿宋_GB2312"/>
          <w:sz w:val="28"/>
          <w:szCs w:val="28"/>
        </w:rPr>
      </w:pPr>
      <w:r>
        <w:rPr>
          <w:rFonts w:hint="eastAsia" w:ascii="仿宋_GB2312" w:hAnsi="仿宋_GB2312" w:eastAsia="仿宋_GB2312" w:cs="仿宋_GB2312"/>
          <w:sz w:val="28"/>
          <w:szCs w:val="28"/>
        </w:rPr>
        <w:t>2、投标人参与本项目投标前三年内，在经营活动中没有重大违法记录（由供应商在《投标人具备投标资格的证明文件》中作出声明）。</w:t>
      </w:r>
    </w:p>
    <w:p>
      <w:pPr>
        <w:spacing w:line="600" w:lineRule="exact"/>
        <w:ind w:left="426" w:hanging="425" w:hangingChars="152"/>
        <w:rPr>
          <w:rFonts w:ascii="仿宋" w:hAnsi="仿宋" w:eastAsia="仿宋" w:cs="仿宋"/>
          <w:sz w:val="28"/>
          <w:szCs w:val="28"/>
        </w:rPr>
      </w:pPr>
      <w:r>
        <w:rPr>
          <w:rFonts w:hint="eastAsia" w:ascii="Times New Roman" w:hAnsi="Times New Roman" w:eastAsia="仿宋_GB2312" w:cs="Times New Roman"/>
          <w:kern w:val="0"/>
          <w:sz w:val="28"/>
          <w:szCs w:val="28"/>
        </w:rPr>
        <w:t>3、</w:t>
      </w:r>
      <w:r>
        <w:rPr>
          <w:rFonts w:hint="eastAsia" w:ascii="仿宋" w:hAnsi="仿宋" w:eastAsia="仿宋" w:cs="仿宋"/>
          <w:color w:val="000000"/>
          <w:sz w:val="28"/>
          <w:szCs w:val="28"/>
        </w:rPr>
        <w:t>承包方式：采用固定综合单价合同方式，实行综合单价包干、措施项目费包干，工程量按实结算（即包工、包料、包工期、包质量、包安全、包文明施工、包税、包利润等）</w:t>
      </w:r>
    </w:p>
    <w:p>
      <w:pPr>
        <w:spacing w:line="600" w:lineRule="exact"/>
        <w:ind w:firstLine="560" w:firstLineChars="200"/>
        <w:rPr>
          <w:rFonts w:ascii="仿宋_GB2312" w:hAnsi="仿宋_GB2312" w:eastAsia="仿宋_GB2312" w:cs="仿宋_GB2312"/>
          <w:sz w:val="28"/>
          <w:szCs w:val="28"/>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spacing w:line="600" w:lineRule="exact"/>
        <w:outlineLvl w:val="1"/>
        <w:rPr>
          <w:rFonts w:ascii="宋体" w:hAnsi="宋体" w:eastAsia="宋体" w:cs="宋体"/>
          <w:b/>
          <w:sz w:val="28"/>
          <w:szCs w:val="28"/>
        </w:rPr>
      </w:pPr>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9"/>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5.2</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签订合同30日内</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562" w:firstLineChars="200"/>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（一）项目概述</w:t>
      </w:r>
    </w:p>
    <w:p>
      <w:pPr>
        <w:spacing w:line="700" w:lineRule="exact"/>
        <w:ind w:firstLine="570"/>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eastAsia="zh-CN"/>
        </w:rPr>
        <w:t>根据“独向天涯寻画本—何香凝与南洋华侨的翰墨因缘”需求，对何香凝美术馆</w:t>
      </w:r>
      <w:r>
        <w:rPr>
          <w:rFonts w:hint="eastAsia" w:ascii="仿宋_GB2312" w:hAnsi="仿宋_GB2312" w:eastAsia="仿宋_GB2312" w:cs="仿宋_GB2312"/>
          <w:snapToGrid w:val="0"/>
          <w:sz w:val="28"/>
          <w:szCs w:val="28"/>
          <w:lang w:val="en-US" w:eastAsia="zh-CN"/>
        </w:rPr>
        <w:t>1-3号展厅进行展墙搭建和涂漆等工程。</w:t>
      </w: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eastAsia="zh-CN"/>
        </w:rPr>
        <w:t>展墙拆除、搭建；</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（2）</w:t>
      </w:r>
      <w:r>
        <w:rPr>
          <w:rFonts w:hint="eastAsia" w:ascii="仿宋_GB2312" w:hAnsi="仿宋_GB2312" w:eastAsia="仿宋_GB2312" w:cs="仿宋_GB2312"/>
          <w:snapToGrid w:val="0"/>
          <w:sz w:val="28"/>
          <w:szCs w:val="28"/>
          <w:lang w:eastAsia="zh-CN"/>
        </w:rPr>
        <w:t>展墙涂漆；</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lang w:eastAsia="zh-CN"/>
        </w:rPr>
        <w:t>（</w:t>
      </w:r>
      <w:r>
        <w:rPr>
          <w:rFonts w:hint="eastAsia" w:ascii="仿宋_GB2312" w:hAnsi="仿宋_GB2312" w:eastAsia="仿宋_GB2312" w:cs="仿宋_GB2312"/>
          <w:snapToGrid w:val="0"/>
          <w:sz w:val="28"/>
          <w:szCs w:val="28"/>
          <w:lang w:val="en-US" w:eastAsia="zh-CN"/>
        </w:rPr>
        <w:t>3</w:t>
      </w:r>
      <w:r>
        <w:rPr>
          <w:rFonts w:hint="eastAsia" w:ascii="仿宋_GB2312" w:hAnsi="仿宋_GB2312" w:eastAsia="仿宋_GB2312" w:cs="仿宋_GB2312"/>
          <w:snapToGrid w:val="0"/>
          <w:sz w:val="28"/>
          <w:szCs w:val="28"/>
          <w:lang w:eastAsia="zh-CN"/>
        </w:rPr>
        <w:t>）制作展柜。</w:t>
      </w:r>
    </w:p>
    <w:p>
      <w:pPr>
        <w:numPr>
          <w:ilvl w:val="0"/>
          <w:numId w:val="2"/>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②建设工期：不超30日历天</w:t>
      </w:r>
    </w:p>
    <w:p>
      <w:pPr>
        <w:numPr>
          <w:ilvl w:val="0"/>
          <w:numId w:val="2"/>
        </w:numPr>
        <w:tabs>
          <w:tab w:val="left" w:pos="540"/>
        </w:tabs>
        <w:adjustRightInd w:val="0"/>
        <w:snapToGrid w:val="0"/>
        <w:spacing w:line="600" w:lineRule="exact"/>
        <w:ind w:right="-181" w:rightChars="-86" w:firstLine="562" w:firstLineChars="200"/>
        <w:rPr>
          <w:rFonts w:ascii="宋体" w:hAnsi="宋体" w:eastAsia="宋体" w:cs="宋体"/>
          <w:b/>
          <w:bCs/>
          <w:snapToGrid w:val="0"/>
          <w:sz w:val="28"/>
          <w:szCs w:val="28"/>
        </w:rPr>
      </w:pPr>
      <w:r>
        <w:rPr>
          <w:rFonts w:hint="eastAsia" w:ascii="宋体" w:hAnsi="宋体" w:eastAsia="宋体" w:cs="宋体"/>
          <w:b/>
          <w:bCs/>
          <w:snapToGrid w:val="0"/>
          <w:sz w:val="28"/>
          <w:szCs w:val="28"/>
        </w:rPr>
        <w:t>工程质量标准</w:t>
      </w:r>
    </w:p>
    <w:p>
      <w:pPr>
        <w:tabs>
          <w:tab w:val="left" w:pos="312"/>
          <w:tab w:val="left" w:pos="540"/>
        </w:tabs>
        <w:adjustRightInd w:val="0"/>
        <w:snapToGrid w:val="0"/>
        <w:spacing w:line="600" w:lineRule="exact"/>
        <w:ind w:left="420" w:right="-181" w:rightChars="-86"/>
        <w:rPr>
          <w:rFonts w:ascii="仿宋" w:hAnsi="仿宋" w:eastAsia="仿宋" w:cs="仿宋"/>
          <w:sz w:val="28"/>
          <w:szCs w:val="28"/>
        </w:rPr>
      </w:pPr>
      <w:r>
        <w:rPr>
          <w:rFonts w:hint="eastAsia" w:ascii="仿宋_GB2312" w:hAnsi="仿宋_GB2312" w:eastAsia="仿宋_GB2312" w:cs="仿宋_GB2312"/>
          <w:snapToGrid w:val="0"/>
          <w:sz w:val="28"/>
          <w:szCs w:val="28"/>
        </w:rPr>
        <w:t>（1）</w:t>
      </w:r>
      <w:r>
        <w:rPr>
          <w:rFonts w:hint="eastAsia" w:ascii="仿宋" w:hAnsi="仿宋" w:eastAsia="仿宋" w:cs="仿宋"/>
          <w:sz w:val="28"/>
          <w:szCs w:val="28"/>
        </w:rPr>
        <w:t>《建筑工程施工质量验收统一标准》（GB50300-2013）</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（2）</w:t>
      </w:r>
      <w:r>
        <w:rPr>
          <w:rFonts w:hint="eastAsia" w:ascii="仿宋" w:hAnsi="仿宋" w:eastAsia="仿宋" w:cs="仿宋"/>
          <w:sz w:val="28"/>
          <w:szCs w:val="28"/>
        </w:rPr>
        <w:t>《室内装饰工程质量规范》（QB1838-93）</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（3）</w:t>
      </w:r>
      <w:r>
        <w:rPr>
          <w:rFonts w:hint="eastAsia" w:ascii="仿宋" w:hAnsi="仿宋" w:eastAsia="仿宋" w:cs="仿宋"/>
          <w:bCs/>
          <w:sz w:val="28"/>
          <w:szCs w:val="28"/>
        </w:rPr>
        <w:t>《施工现场临时用电安全技术规范》（JGJ46-2005）</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（4）</w:t>
      </w:r>
      <w:r>
        <w:rPr>
          <w:rFonts w:hint="eastAsia" w:ascii="仿宋" w:hAnsi="仿宋" w:eastAsia="仿宋" w:cs="仿宋"/>
          <w:sz w:val="28"/>
          <w:szCs w:val="28"/>
        </w:rPr>
        <w:t>《室内装饰工程质量规范》（QB1838-93）</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（5）</w:t>
      </w:r>
      <w:r>
        <w:rPr>
          <w:rFonts w:hint="eastAsia" w:ascii="仿宋" w:hAnsi="仿宋" w:eastAsia="仿宋" w:cs="仿宋"/>
          <w:sz w:val="28"/>
          <w:szCs w:val="28"/>
        </w:rPr>
        <w:t>《建筑装饰装修工程质量验收标准》（GB50210-2018）</w:t>
      </w:r>
    </w:p>
    <w:p>
      <w:pPr>
        <w:tabs>
          <w:tab w:val="left" w:pos="312"/>
          <w:tab w:val="left" w:pos="540"/>
        </w:tabs>
        <w:adjustRightInd w:val="0"/>
        <w:snapToGrid w:val="0"/>
        <w:spacing w:line="600" w:lineRule="exact"/>
        <w:ind w:left="420" w:right="-181" w:rightChars="-86"/>
        <w:rPr>
          <w:rFonts w:ascii="仿宋" w:hAnsi="仿宋" w:eastAsia="仿宋" w:cs="仿宋"/>
          <w:snapToGrid w:val="0"/>
          <w:sz w:val="28"/>
          <w:szCs w:val="28"/>
        </w:rPr>
      </w:pPr>
      <w:r>
        <w:rPr>
          <w:rFonts w:hint="eastAsia" w:ascii="仿宋_GB2312" w:hAnsi="仿宋_GB2312" w:eastAsia="仿宋_GB2312" w:cs="仿宋_GB2312"/>
          <w:snapToGrid w:val="0"/>
          <w:sz w:val="28"/>
          <w:szCs w:val="28"/>
        </w:rPr>
        <w:t>（6）</w:t>
      </w:r>
      <w:r>
        <w:rPr>
          <w:rFonts w:hint="eastAsia" w:ascii="仿宋" w:hAnsi="仿宋" w:eastAsia="仿宋" w:cs="仿宋"/>
          <w:bCs/>
          <w:sz w:val="28"/>
          <w:szCs w:val="28"/>
        </w:rPr>
        <w:t>《建筑施工安全检查标准》（JGJ59-2011）</w:t>
      </w:r>
    </w:p>
    <w:p>
      <w:pPr>
        <w:tabs>
          <w:tab w:val="left" w:pos="540"/>
        </w:tabs>
        <w:adjustRightInd w:val="0"/>
        <w:snapToGrid w:val="0"/>
        <w:spacing w:line="600" w:lineRule="exact"/>
        <w:ind w:right="-181" w:rightChars="-86"/>
        <w:rPr>
          <w:rFonts w:ascii="仿宋" w:hAnsi="仿宋" w:eastAsia="仿宋" w:cs="仿宋"/>
          <w:snapToGrid w:val="0"/>
          <w:sz w:val="28"/>
          <w:szCs w:val="28"/>
        </w:rPr>
      </w:pPr>
    </w:p>
    <w:p>
      <w:pPr>
        <w:tabs>
          <w:tab w:val="left" w:pos="540"/>
        </w:tabs>
        <w:adjustRightInd w:val="0"/>
        <w:snapToGrid w:val="0"/>
        <w:spacing w:line="600" w:lineRule="exact"/>
        <w:ind w:right="-181" w:rightChars="-86"/>
        <w:rPr>
          <w:rFonts w:ascii="仿宋_GB2312" w:hAnsi="仿宋_GB2312" w:eastAsia="仿宋_GB2312" w:cs="仿宋_GB2312"/>
          <w:snapToGrid w:val="0"/>
          <w:sz w:val="28"/>
          <w:szCs w:val="28"/>
        </w:rPr>
      </w:pPr>
    </w:p>
    <w:p>
      <w:pPr>
        <w:numPr>
          <w:ilvl w:val="0"/>
          <w:numId w:val="3"/>
        </w:numPr>
        <w:spacing w:line="600" w:lineRule="exact"/>
        <w:ind w:firstLine="562" w:firstLineChars="200"/>
        <w:rPr>
          <w:rFonts w:hint="default" w:ascii="宋体" w:hAnsi="宋体" w:eastAsia="宋体" w:cs="宋体"/>
          <w:b/>
          <w:sz w:val="28"/>
          <w:szCs w:val="28"/>
          <w:lang w:val="en-US"/>
        </w:rPr>
      </w:pPr>
      <w:r>
        <w:rPr>
          <w:rFonts w:hint="eastAsia" w:ascii="宋体" w:hAnsi="宋体" w:eastAsia="宋体" w:cs="宋体"/>
          <w:b/>
          <w:sz w:val="28"/>
          <w:szCs w:val="28"/>
        </w:rPr>
        <w:t>工程</w:t>
      </w:r>
      <w:r>
        <w:rPr>
          <w:rFonts w:hint="eastAsia" w:ascii="宋体" w:hAnsi="宋体" w:eastAsia="宋体" w:cs="宋体"/>
          <w:b/>
          <w:sz w:val="28"/>
          <w:szCs w:val="28"/>
          <w:lang w:val="en-US" w:eastAsia="zh-CN"/>
        </w:rPr>
        <w:t>清单</w:t>
      </w:r>
    </w:p>
    <w:p>
      <w:pPr>
        <w:spacing w:line="600" w:lineRule="exact"/>
        <w:ind w:firstLine="560" w:firstLineChars="200"/>
        <w:rPr>
          <w:rFonts w:ascii="仿宋_GB2312" w:hAnsi="仿宋_GB2312" w:eastAsia="仿宋_GB2312" w:cs="仿宋_GB2312"/>
          <w:b/>
          <w:sz w:val="28"/>
          <w:szCs w:val="28"/>
          <w:u w:val="single"/>
        </w:rPr>
      </w:pPr>
      <w:r>
        <w:rPr>
          <w:rFonts w:hint="eastAsia" w:ascii="仿宋_GB2312" w:hAnsi="仿宋_GB2312" w:eastAsia="仿宋_GB2312" w:cs="仿宋_GB2312"/>
          <w:sz w:val="28"/>
          <w:szCs w:val="28"/>
          <w:lang w:val="en-US" w:eastAsia="zh-CN"/>
        </w:rPr>
        <w:t>详见《何香凝与南洋华侨的翰墨因缘展</w:t>
      </w:r>
      <w:bookmarkStart w:id="29" w:name="_GoBack"/>
      <w:bookmarkEnd w:id="29"/>
      <w:r>
        <w:rPr>
          <w:rFonts w:hint="eastAsia" w:ascii="仿宋_GB2312" w:hAnsi="仿宋_GB2312" w:eastAsia="仿宋_GB2312" w:cs="仿宋_GB2312"/>
          <w:sz w:val="28"/>
          <w:szCs w:val="28"/>
          <w:lang w:val="en-US" w:eastAsia="zh-CN"/>
        </w:rPr>
        <w:t>室内装饰工程采购清单》。</w:t>
      </w:r>
    </w:p>
    <w:p>
      <w:pPr>
        <w:spacing w:line="600" w:lineRule="exact"/>
        <w:ind w:firstLine="562" w:firstLineChars="200"/>
        <w:outlineLvl w:val="1"/>
        <w:rPr>
          <w:rFonts w:hint="eastAsia" w:ascii="宋体" w:hAnsi="宋体" w:eastAsia="宋体" w:cs="宋体"/>
          <w:b/>
          <w:sz w:val="28"/>
          <w:szCs w:val="28"/>
        </w:rPr>
      </w:pPr>
      <w:bookmarkStart w:id="17" w:name="_Toc419986983"/>
    </w:p>
    <w:p>
      <w:p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984"/>
      <w:bookmarkStart w:id="19" w:name="_Toc41998686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ascii="仿宋_GB2312" w:hAnsi="仿宋_GB2312" w:eastAsia="仿宋_GB2312" w:cs="仿宋_GB2312"/>
          <w:sz w:val="28"/>
          <w:szCs w:val="28"/>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服务地点：何香凝美术馆</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rPr>
        <w:t>合同签订后30日内</w:t>
      </w:r>
    </w:p>
    <w:p>
      <w:pPr>
        <w:spacing w:line="600" w:lineRule="exact"/>
        <w:ind w:firstLine="562" w:firstLineChars="200"/>
        <w:outlineLvl w:val="1"/>
        <w:rPr>
          <w:rFonts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p>
    <w:p>
      <w:pPr>
        <w:spacing w:line="600" w:lineRule="exact"/>
        <w:ind w:firstLine="560" w:firstLineChars="200"/>
        <w:outlineLvl w:val="1"/>
        <w:rPr>
          <w:rFonts w:ascii="仿宋_GB2312" w:hAnsi="仿宋_GB2312" w:eastAsia="仿宋_GB2312" w:cs="仿宋_GB2312"/>
          <w:sz w:val="28"/>
          <w:szCs w:val="28"/>
        </w:rPr>
      </w:pPr>
      <w:bookmarkStart w:id="23" w:name="_Toc419986989"/>
      <w:r>
        <w:rPr>
          <w:rFonts w:hint="eastAsia" w:ascii="仿宋_GB2312" w:hAnsi="仿宋_GB2312" w:eastAsia="仿宋_GB2312" w:cs="仿宋_GB2312"/>
          <w:sz w:val="28"/>
          <w:szCs w:val="28"/>
        </w:rPr>
        <w:t>工程分两期支付：</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1、第一期：招标人在与投标人签订合同后支付合同总金额的50%。</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2、第二期：在投标人完成工程后招标人支付剩余50%尾款。</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（三）项目负责人验收</w:t>
      </w:r>
      <w:bookmarkEnd w:id="23"/>
    </w:p>
    <w:p>
      <w:pPr>
        <w:adjustRightInd w:val="0"/>
        <w:spacing w:line="360" w:lineRule="auto"/>
        <w:ind w:left="1130" w:leftChars="337" w:hanging="422" w:hangingChars="151"/>
        <w:rPr>
          <w:rFonts w:ascii="仿宋" w:hAnsi="仿宋" w:eastAsia="仿宋" w:cs="仿宋"/>
          <w:sz w:val="28"/>
          <w:szCs w:val="28"/>
        </w:rPr>
      </w:pPr>
      <w:bookmarkStart w:id="24" w:name="_Toc419986991"/>
      <w:r>
        <w:rPr>
          <w:rFonts w:hint="eastAsia" w:ascii="仿宋" w:hAnsi="仿宋" w:eastAsia="仿宋" w:cs="仿宋"/>
          <w:sz w:val="28"/>
          <w:szCs w:val="28"/>
        </w:rPr>
        <w:t>1、竣工验收：工程竣工后，中标人应通知采购方验收，采购人自接到验收通知</w:t>
      </w:r>
      <w:r>
        <w:rPr>
          <w:rFonts w:hint="eastAsia" w:ascii="仿宋" w:hAnsi="仿宋" w:eastAsia="仿宋" w:cs="仿宋"/>
          <w:sz w:val="28"/>
          <w:szCs w:val="28"/>
          <w:u w:val="single"/>
        </w:rPr>
        <w:t xml:space="preserve"> 3 </w:t>
      </w:r>
      <w:r>
        <w:rPr>
          <w:rFonts w:hint="eastAsia" w:ascii="仿宋" w:hAnsi="仿宋" w:eastAsia="仿宋" w:cs="仿宋"/>
          <w:sz w:val="28"/>
          <w:szCs w:val="28"/>
        </w:rPr>
        <w:t>日内组织验收，并办理验收、移交手续。如采购方在规定时间内未能组织验收，需及时通知中标人，另定验收日期。</w:t>
      </w:r>
    </w:p>
    <w:p>
      <w:pPr>
        <w:adjustRightInd w:val="0"/>
        <w:spacing w:line="360" w:lineRule="auto"/>
        <w:ind w:left="1130" w:leftChars="337" w:hanging="422" w:hangingChars="151"/>
        <w:rPr>
          <w:rFonts w:ascii="仿宋" w:hAnsi="仿宋" w:eastAsia="仿宋" w:cs="仿宋"/>
          <w:sz w:val="28"/>
          <w:szCs w:val="28"/>
        </w:rPr>
      </w:pPr>
      <w:r>
        <w:rPr>
          <w:rFonts w:hint="eastAsia" w:ascii="仿宋" w:hAnsi="仿宋" w:eastAsia="仿宋" w:cs="仿宋"/>
          <w:sz w:val="28"/>
          <w:szCs w:val="28"/>
        </w:rPr>
        <w:t>2、验收合格项目，双方签字确认；不合格项目限期整改，另行验收，直至合格为止。</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（四）服务保障及相应的时间要求</w:t>
      </w:r>
      <w:bookmarkEnd w:id="24"/>
    </w:p>
    <w:p>
      <w:pPr>
        <w:spacing w:line="600" w:lineRule="exact"/>
        <w:ind w:firstLine="560" w:firstLineChars="200"/>
        <w:rPr>
          <w:rFonts w:ascii="仿宋_GB2312" w:hAnsi="仿宋_GB2312" w:eastAsia="仿宋_GB2312" w:cs="仿宋_GB2312"/>
          <w:sz w:val="28"/>
          <w:szCs w:val="28"/>
        </w:rPr>
      </w:pPr>
      <w:bookmarkStart w:id="25" w:name="_Toc419986996"/>
      <w:r>
        <w:rPr>
          <w:rFonts w:hint="eastAsia" w:ascii="仿宋_GB2312" w:hAnsi="仿宋_GB2312" w:eastAsia="仿宋_GB2312" w:cs="仿宋_GB2312"/>
          <w:sz w:val="28"/>
          <w:szCs w:val="28"/>
        </w:rPr>
        <w:t>施工方应在合同生效后10天内向用户提供详细的施工准备条件及施工计划。设备安装、调试过程中发生的费用由供方承担；设备到达用户所在地后，在接到用户通知后5个工作日内开始执行安装、调试。</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（五）服务时间</w:t>
      </w:r>
      <w:bookmarkEnd w:id="25"/>
    </w:p>
    <w:p>
      <w:pPr>
        <w:spacing w:line="600" w:lineRule="exact"/>
        <w:ind w:firstLine="560" w:firstLineChars="200"/>
        <w:rPr>
          <w:rFonts w:ascii="仿宋_GB2312" w:hAnsi="仿宋_GB2312" w:eastAsia="仿宋_GB2312" w:cs="仿宋_GB2312"/>
          <w:sz w:val="28"/>
          <w:szCs w:val="28"/>
        </w:rPr>
      </w:pPr>
      <w:bookmarkStart w:id="26" w:name="_Toc419986997"/>
      <w:r>
        <w:rPr>
          <w:rFonts w:hint="eastAsia" w:ascii="仿宋_GB2312" w:hAnsi="仿宋_GB2312" w:eastAsia="仿宋_GB2312" w:cs="仿宋_GB2312"/>
          <w:sz w:val="28"/>
          <w:szCs w:val="28"/>
        </w:rPr>
        <w:t>项目实施期间需提供每日至少6小时的驻场服务</w:t>
      </w:r>
      <w:bookmarkEnd w:id="26"/>
      <w:r>
        <w:rPr>
          <w:rFonts w:hint="eastAsia" w:ascii="仿宋_GB2312" w:hAnsi="仿宋_GB2312" w:eastAsia="仿宋_GB2312" w:cs="仿宋_GB2312"/>
          <w:sz w:val="28"/>
          <w:szCs w:val="28"/>
        </w:rPr>
        <w:t>。</w:t>
      </w:r>
    </w:p>
    <w:p>
      <w:pPr>
        <w:spacing w:line="600" w:lineRule="exact"/>
        <w:ind w:firstLine="562" w:firstLineChars="200"/>
        <w:outlineLvl w:val="1"/>
        <w:rPr>
          <w:rFonts w:ascii="仿宋_GB2312" w:hAnsi="仿宋_GB2312" w:eastAsia="仿宋_GB2312" w:cs="仿宋_GB2312"/>
          <w:b/>
          <w:sz w:val="28"/>
          <w:szCs w:val="28"/>
        </w:rPr>
      </w:pPr>
      <w:bookmarkStart w:id="27" w:name="_Toc419986999"/>
      <w:r>
        <w:rPr>
          <w:rFonts w:hint="eastAsia" w:ascii="仿宋_GB2312" w:hAnsi="仿宋_GB2312" w:eastAsia="仿宋_GB2312" w:cs="仿宋_GB2312"/>
          <w:b/>
          <w:sz w:val="28"/>
          <w:szCs w:val="28"/>
        </w:rPr>
        <w:t>（六）</w:t>
      </w:r>
      <w:bookmarkEnd w:id="27"/>
      <w:bookmarkStart w:id="28" w:name="_Toc419987011"/>
      <w:r>
        <w:rPr>
          <w:rFonts w:hint="eastAsia" w:ascii="仿宋_GB2312" w:hAnsi="仿宋_GB2312" w:eastAsia="仿宋_GB2312" w:cs="仿宋_GB2312"/>
          <w:b/>
          <w:sz w:val="28"/>
          <w:szCs w:val="28"/>
        </w:rPr>
        <w:t>售后服务</w:t>
      </w:r>
      <w:bookmarkEnd w:id="28"/>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投标人应按其投标文件中的承诺，进行其他售后服务工作（售后服务内容、要求和质保期限，对发生问题的处理意见，维护保养、技术培训服务等要求）。</w:t>
      </w:r>
    </w:p>
    <w:p>
      <w:pPr>
        <w:spacing w:line="600" w:lineRule="exact"/>
        <w:ind w:firstLine="560" w:firstLineChars="200"/>
        <w:rPr>
          <w:rFonts w:ascii="仿宋_GB2312" w:hAnsi="仿宋_GB2312" w:eastAsia="仿宋_GB2312" w:cs="仿宋_GB2312"/>
          <w:sz w:val="28"/>
          <w:szCs w:val="28"/>
        </w:rPr>
      </w:pP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本需求书由何香凝美术馆办公室制定并解释，自印发之日起施行。</w:t>
      </w:r>
    </w:p>
    <w:sectPr>
      <w:pgSz w:w="16838" w:h="11906" w:orient="landscape"/>
      <w:pgMar w:top="1400" w:right="1440" w:bottom="12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abstractNum w:abstractNumId="2">
    <w:nsid w:val="18F051B8"/>
    <w:multiLevelType w:val="singleLevel"/>
    <w:tmpl w:val="18F051B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8E4F45"/>
    <w:rsid w:val="04C01DE0"/>
    <w:rsid w:val="05CA4462"/>
    <w:rsid w:val="06ED67D2"/>
    <w:rsid w:val="07D3753C"/>
    <w:rsid w:val="08D53AF6"/>
    <w:rsid w:val="08ED5702"/>
    <w:rsid w:val="0BF66B40"/>
    <w:rsid w:val="0C372E55"/>
    <w:rsid w:val="0CE27B10"/>
    <w:rsid w:val="0ECF2005"/>
    <w:rsid w:val="10192BB2"/>
    <w:rsid w:val="16042B1F"/>
    <w:rsid w:val="17822638"/>
    <w:rsid w:val="18D12C82"/>
    <w:rsid w:val="19236BF8"/>
    <w:rsid w:val="198545AA"/>
    <w:rsid w:val="1A970B73"/>
    <w:rsid w:val="2098686D"/>
    <w:rsid w:val="209F3FF6"/>
    <w:rsid w:val="24647281"/>
    <w:rsid w:val="26253ABD"/>
    <w:rsid w:val="2697352D"/>
    <w:rsid w:val="26E627DF"/>
    <w:rsid w:val="27E0273B"/>
    <w:rsid w:val="283A62D5"/>
    <w:rsid w:val="2CBB1D2E"/>
    <w:rsid w:val="2D3D2D3F"/>
    <w:rsid w:val="2D5F45B5"/>
    <w:rsid w:val="2F035FFB"/>
    <w:rsid w:val="2F9B6F15"/>
    <w:rsid w:val="2FC10006"/>
    <w:rsid w:val="33ED0140"/>
    <w:rsid w:val="347D57DB"/>
    <w:rsid w:val="3C4215AD"/>
    <w:rsid w:val="3CD1590F"/>
    <w:rsid w:val="3DA8045F"/>
    <w:rsid w:val="42332734"/>
    <w:rsid w:val="46EF5460"/>
    <w:rsid w:val="47B0255F"/>
    <w:rsid w:val="4A2526E6"/>
    <w:rsid w:val="4CCE037B"/>
    <w:rsid w:val="4E6E1F29"/>
    <w:rsid w:val="4F5A5106"/>
    <w:rsid w:val="4FE6757E"/>
    <w:rsid w:val="51071D8F"/>
    <w:rsid w:val="51B76E69"/>
    <w:rsid w:val="52166ED5"/>
    <w:rsid w:val="55AA42E8"/>
    <w:rsid w:val="56B66E47"/>
    <w:rsid w:val="59E32478"/>
    <w:rsid w:val="5EAE0389"/>
    <w:rsid w:val="5F715327"/>
    <w:rsid w:val="613B7E76"/>
    <w:rsid w:val="6161331D"/>
    <w:rsid w:val="61D75860"/>
    <w:rsid w:val="65D473C8"/>
    <w:rsid w:val="66406E5B"/>
    <w:rsid w:val="67282B74"/>
    <w:rsid w:val="685332E5"/>
    <w:rsid w:val="6A5D295F"/>
    <w:rsid w:val="6A7A59E2"/>
    <w:rsid w:val="6ADA784B"/>
    <w:rsid w:val="6C8E07F9"/>
    <w:rsid w:val="6CC658DA"/>
    <w:rsid w:val="6D535020"/>
    <w:rsid w:val="6D9F2D69"/>
    <w:rsid w:val="6E780066"/>
    <w:rsid w:val="6F611423"/>
    <w:rsid w:val="6F743F8A"/>
    <w:rsid w:val="70D15D4D"/>
    <w:rsid w:val="727A14FE"/>
    <w:rsid w:val="77F220C9"/>
    <w:rsid w:val="780F283F"/>
    <w:rsid w:val="78456FBD"/>
    <w:rsid w:val="7B8A1669"/>
    <w:rsid w:val="7D4129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 w:type="character" w:customStyle="1" w:styleId="19">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0">
    <w:name w:val="font11"/>
    <w:basedOn w:val="11"/>
    <w:qFormat/>
    <w:uiPriority w:val="0"/>
    <w:rPr>
      <w:rFonts w:hint="eastAsia" w:ascii="宋体" w:hAnsi="宋体" w:eastAsia="宋体" w:cs="宋体"/>
      <w:color w:val="000000"/>
      <w:sz w:val="20"/>
      <w:szCs w:val="20"/>
      <w:u w:val="none"/>
    </w:rPr>
  </w:style>
  <w:style w:type="character" w:customStyle="1" w:styleId="21">
    <w:name w:val="font122"/>
    <w:basedOn w:val="11"/>
    <w:qFormat/>
    <w:uiPriority w:val="0"/>
    <w:rPr>
      <w:rFonts w:hint="default" w:ascii="Times New Roman" w:hAnsi="Times New Roman" w:cs="Times New Roman"/>
      <w:b/>
      <w:bCs/>
      <w:color w:val="000000"/>
      <w:sz w:val="28"/>
      <w:szCs w:val="28"/>
      <w:u w:val="none"/>
    </w:rPr>
  </w:style>
  <w:style w:type="character" w:customStyle="1" w:styleId="22">
    <w:name w:val="font81"/>
    <w:basedOn w:val="11"/>
    <w:qFormat/>
    <w:uiPriority w:val="0"/>
    <w:rPr>
      <w:rFonts w:hint="eastAsia" w:ascii="黑体" w:hAnsi="宋体" w:eastAsia="黑体" w:cs="黑体"/>
      <w:b/>
      <w:bCs/>
      <w:color w:val="000000"/>
      <w:sz w:val="28"/>
      <w:szCs w:val="28"/>
      <w:u w:val="none"/>
    </w:rPr>
  </w:style>
  <w:style w:type="character" w:customStyle="1" w:styleId="23">
    <w:name w:val="font101"/>
    <w:basedOn w:val="11"/>
    <w:qFormat/>
    <w:uiPriority w:val="0"/>
    <w:rPr>
      <w:rFonts w:hint="default" w:ascii="Times New Roman" w:hAnsi="Times New Roman" w:cs="Times New Roman"/>
      <w:b/>
      <w:bCs/>
      <w:color w:val="000000"/>
      <w:sz w:val="28"/>
      <w:szCs w:val="28"/>
      <w:u w:val="none"/>
    </w:rPr>
  </w:style>
  <w:style w:type="character" w:customStyle="1" w:styleId="24">
    <w:name w:val="font61"/>
    <w:basedOn w:val="11"/>
    <w:qFormat/>
    <w:uiPriority w:val="0"/>
    <w:rPr>
      <w:rFonts w:hint="eastAsia" w:ascii="黑体" w:hAnsi="宋体" w:eastAsia="黑体" w:cs="黑体"/>
      <w:b/>
      <w:bCs/>
      <w:color w:val="000000"/>
      <w:sz w:val="28"/>
      <w:szCs w:val="28"/>
      <w:u w:val="none"/>
    </w:rPr>
  </w:style>
  <w:style w:type="character" w:customStyle="1" w:styleId="25">
    <w:name w:val="font121"/>
    <w:basedOn w:val="11"/>
    <w:qFormat/>
    <w:uiPriority w:val="0"/>
    <w:rPr>
      <w:rFonts w:hint="default" w:ascii="Times New Roman" w:hAnsi="Times New Roman" w:cs="Times New Roman"/>
      <w:b/>
      <w:bCs/>
      <w:color w:val="000000"/>
      <w:sz w:val="28"/>
      <w:szCs w:val="28"/>
      <w:u w:val="none"/>
    </w:rPr>
  </w:style>
  <w:style w:type="character" w:customStyle="1" w:styleId="26">
    <w:name w:val="font41"/>
    <w:basedOn w:val="11"/>
    <w:qFormat/>
    <w:uiPriority w:val="0"/>
    <w:rPr>
      <w:rFonts w:hint="eastAsia" w:ascii="黑体" w:hAnsi="宋体" w:eastAsia="黑体" w:cs="黑体"/>
      <w:b/>
      <w:bCs/>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8</Pages>
  <Words>1708</Words>
  <Characters>1929</Characters>
  <Lines>12</Lines>
  <Paragraphs>3</Paragraphs>
  <TotalTime>7</TotalTime>
  <ScaleCrop>false</ScaleCrop>
  <LinksUpToDate>false</LinksUpToDate>
  <CharactersWithSpaces>2038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陈初晴</cp:lastModifiedBy>
  <cp:lastPrinted>2020-04-27T09:30:00Z</cp:lastPrinted>
  <dcterms:modified xsi:type="dcterms:W3CDTF">2021-12-31T05:49:26Z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C6142840662948F185C336834E0994EE</vt:lpwstr>
  </property>
</Properties>
</file>