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after="450" w:line="450" w:lineRule="atLeas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Toc419986980"/>
      <w:bookmarkStart w:id="1" w:name="_Toc101951257"/>
      <w:bookmarkStart w:id="2" w:name="_Toc101771371"/>
      <w:bookmarkStart w:id="3" w:name="_Toc101775124"/>
      <w:bookmarkStart w:id="4" w:name="_Toc101843124"/>
      <w:bookmarkStart w:id="5" w:name="_Toc175644388"/>
      <w:r>
        <w:rPr>
          <w:rFonts w:ascii="方正小标宋简体" w:hAnsi="方正小标宋简体" w:eastAsia="方正小标宋简体" w:cs="方正小标宋简体"/>
          <w:sz w:val="44"/>
          <w:szCs w:val="44"/>
        </w:rPr>
        <w:t>何香凝美术馆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资产清查项目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需求</w:t>
      </w:r>
      <w:bookmarkEnd w:id="0"/>
      <w:bookmarkEnd w:id="1"/>
      <w:bookmarkEnd w:id="2"/>
      <w:bookmarkEnd w:id="3"/>
      <w:bookmarkEnd w:id="4"/>
      <w:bookmarkEnd w:id="5"/>
      <w:bookmarkStart w:id="6" w:name="_Toc46308528"/>
      <w:bookmarkStart w:id="7" w:name="_Toc37663392"/>
      <w:bookmarkStart w:id="8" w:name="_Toc37331039"/>
      <w:bookmarkStart w:id="9" w:name="_Toc46308684"/>
      <w:bookmarkStart w:id="10" w:name="_Toc37569520"/>
      <w:bookmarkStart w:id="11" w:name="_Toc37581421"/>
      <w:bookmarkStart w:id="12" w:name="_Toc37245277"/>
      <w:bookmarkStart w:id="13" w:name="_Toc37331081"/>
      <w:bookmarkStart w:id="14" w:name="_Toc40762371"/>
      <w:r>
        <w:rPr>
          <w:rFonts w:ascii="方正小标宋简体" w:hAnsi="方正小标宋简体" w:eastAsia="方正小标宋简体" w:cs="方正小标宋简体"/>
          <w:sz w:val="44"/>
          <w:szCs w:val="44"/>
        </w:rPr>
        <w:t>书</w:t>
      </w:r>
    </w:p>
    <w:p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5" w:name="_Toc419986981"/>
      <w:r>
        <w:rPr>
          <w:rFonts w:hint="eastAsia" w:ascii="宋体" w:hAnsi="宋体" w:eastAsia="宋体" w:cs="宋体"/>
          <w:b/>
          <w:sz w:val="28"/>
          <w:szCs w:val="28"/>
        </w:rPr>
        <w:t>一、投标人资格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参加本项目投标的投标人除应具备《政府采购法》第二十二条供应商资格条件外，还必须符合下列要求：</w:t>
      </w:r>
    </w:p>
    <w:p>
      <w:pPr>
        <w:pStyle w:val="19"/>
        <w:numPr>
          <w:ilvl w:val="0"/>
          <w:numId w:val="1"/>
        </w:numPr>
        <w:spacing w:line="60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投标人必须是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中国政府采购网内注册的公司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，在深圳本地拥有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固定的经营场所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19"/>
        <w:numPr>
          <w:ilvl w:val="0"/>
          <w:numId w:val="1"/>
        </w:numPr>
        <w:spacing w:line="60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投标人参与本项目投标前三年内，在经营活动中没有重大违法记录（由供应商在《投标人具备投标资格的证明文件》中作出声明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本项目不接受联合体投标，不允许分包。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二、项目概况</w:t>
      </w:r>
      <w:bookmarkEnd w:id="15"/>
    </w:p>
    <w:p>
      <w:pPr>
        <w:tabs>
          <w:tab w:val="left" w:pos="540"/>
        </w:tabs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更换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预算：</w:t>
      </w:r>
    </w:p>
    <w:tbl>
      <w:tblPr>
        <w:tblStyle w:val="10"/>
        <w:tblW w:w="8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784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预算金额</w:t>
            </w:r>
          </w:p>
        </w:tc>
        <w:tc>
          <w:tcPr>
            <w:tcW w:w="2784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服务期限</w:t>
            </w:r>
          </w:p>
        </w:tc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人民币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</w:p>
        </w:tc>
        <w:tc>
          <w:tcPr>
            <w:tcW w:w="2784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45天</w:t>
            </w:r>
          </w:p>
        </w:tc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540"/>
        </w:tabs>
        <w:adjustRightInd w:val="0"/>
        <w:snapToGrid w:val="0"/>
        <w:spacing w:beforeLines="50"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af-ZA"/>
        </w:rPr>
        <w:t>2、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用户：何香凝美术馆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、投标人应对所有的招标内容进行投标，不允许只对部分内容进行投标。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、报价要求：以人民币报价。总价内必须包含相关的费用（指上述服务期限）有：劳务费以及国家规定的各项税费。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6" w:name="_Toc419986982"/>
      <w:r>
        <w:rPr>
          <w:rFonts w:hint="eastAsia" w:ascii="宋体" w:hAnsi="宋体" w:eastAsia="宋体" w:cs="宋体"/>
          <w:b/>
          <w:sz w:val="28"/>
          <w:szCs w:val="28"/>
        </w:rPr>
        <w:t>三、招标范围及要求</w:t>
      </w:r>
      <w:bookmarkEnd w:id="16"/>
    </w:p>
    <w:p>
      <w:pPr>
        <w:spacing w:line="60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bookmarkStart w:id="26" w:name="_GoBack"/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（一）项目概述</w:t>
      </w:r>
    </w:p>
    <w:bookmarkEnd w:id="26"/>
    <w:p>
      <w:pPr>
        <w:spacing w:line="60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项目服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务内容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1、按照中央政府相关规定，根据工程结算书将我馆已竣工的维修改造工程项目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  <w:lang w:val="en-US" w:eastAsia="zh-CN"/>
        </w:rPr>
        <w:t>中，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符合固定资产标准的物品做固定资产登记入账，并对资产实物进行标签管理,形成资产卡片。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2、对我馆资产进行全面盘点。服务单位安排专人将现场登记到的资产数据信息进行整理，以及对实际情况进行补充登记，规范资产数据信息，对于资产信息不全的情况，根据我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  <w:lang w:val="en-US" w:eastAsia="zh-CN"/>
        </w:rPr>
        <w:t>馆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对接人员提供相关资料进行补充完善，整理出一份盘点资产明细账（后续对账以系统资产账为基准）。对资产清查后达到账实相符的资产贴二维码，与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  <w:lang w:val="en-US" w:eastAsia="zh-CN"/>
        </w:rPr>
        <w:t>一体预算化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管理系统对接一致。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3、协助资产处置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固定资产盘点完成后，根据相关文件要求，全程跟踪、指导、协助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  <w:lang w:val="en-US" w:eastAsia="zh-CN"/>
        </w:rPr>
        <w:t>我馆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对清查出来报废及盘亏资产实施报废或报损处置。对清理查实需报废的资产，按国有资产管理办法相关规定协助完成资产处置的相关手续，做好资产报废的资料整理工作（含报废资产对应的台账及凭证、发票等报废所需资料的复印件）。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napToGrid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  <w:lang w:val="en-US" w:eastAsia="zh-CN"/>
        </w:rPr>
        <w:t>4、盘点完成后需向我馆出具固定资产清查报告以及相关报表。</w:t>
      </w:r>
    </w:p>
    <w:p>
      <w:pPr>
        <w:spacing w:line="600" w:lineRule="exact"/>
        <w:ind w:firstLine="560" w:firstLineChars="200"/>
        <w:rPr>
          <w:rFonts w:hint="default" w:ascii="仿宋_GB2312" w:hAnsi="仿宋_GB2312" w:eastAsia="仿宋_GB2312" w:cs="仿宋_GB2312"/>
          <w:snapToGrid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  <w:lang w:val="en-US" w:eastAsia="zh-CN"/>
        </w:rPr>
        <w:t>5、给予我馆专业的资产管理建议，协助完善资产管理制度等工作。</w:t>
      </w:r>
    </w:p>
    <w:p>
      <w:pPr>
        <w:spacing w:line="600" w:lineRule="exact"/>
        <w:ind w:firstLine="562" w:firstLineChars="200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spacing w:line="60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项目服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务要求</w:t>
      </w:r>
    </w:p>
    <w:p>
      <w:pPr>
        <w:pStyle w:val="4"/>
        <w:spacing w:beforeLines="50" w:afterLines="50" w:line="160" w:lineRule="atLeast"/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bookmarkStart w:id="17" w:name="_Toc419986983"/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sz w:val="28"/>
          <w:szCs w:val="28"/>
        </w:rPr>
        <w:t>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我馆的</w:t>
      </w:r>
      <w:r>
        <w:rPr>
          <w:rFonts w:hint="eastAsia" w:ascii="仿宋_GB2312" w:hAnsi="仿宋_GB2312" w:eastAsia="仿宋_GB2312" w:cs="仿宋_GB2312"/>
          <w:sz w:val="28"/>
          <w:szCs w:val="28"/>
        </w:rPr>
        <w:t>财产进行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实事求是盘点，对盘点结果负责。</w:t>
      </w:r>
    </w:p>
    <w:p>
      <w:pPr>
        <w:pStyle w:val="4"/>
        <w:spacing w:beforeLines="50" w:afterLines="50" w:line="160" w:lineRule="atLeast"/>
        <w:ind w:lef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、在盘点的同时需对固定资产粘贴标签，盘点完成后出具固定资产清查报告表以及盘亏表。其中盘亏表分严控类及一般资产，并按照报废年限分开填列。</w:t>
      </w:r>
    </w:p>
    <w:p>
      <w:pP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四、商务要求</w:t>
      </w:r>
      <w:bookmarkEnd w:id="17"/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bookmarkStart w:id="18" w:name="_Toc419986984"/>
      <w:bookmarkStart w:id="19" w:name="_Toc419986864"/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（一）服务地点与时间</w:t>
      </w:r>
      <w:bookmarkEnd w:id="18"/>
      <w:bookmarkEnd w:id="19"/>
    </w:p>
    <w:p>
      <w:pPr>
        <w:spacing w:line="600" w:lineRule="exact"/>
        <w:ind w:left="424" w:leftChars="202" w:firstLine="417" w:firstLineChars="149"/>
        <w:rPr>
          <w:rFonts w:ascii="仿宋_GB2312" w:hAnsi="仿宋_GB2312" w:eastAsia="仿宋_GB2312" w:cs="仿宋_GB2312"/>
          <w:sz w:val="28"/>
          <w:szCs w:val="28"/>
        </w:rPr>
      </w:pPr>
      <w:bookmarkStart w:id="20" w:name="_Toc419986985"/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服务地点：</w:t>
      </w:r>
      <w:bookmarkEnd w:id="20"/>
      <w:r>
        <w:rPr>
          <w:rFonts w:hint="eastAsia" w:ascii="仿宋_GB2312" w:hAnsi="仿宋_GB2312" w:eastAsia="仿宋_GB2312" w:cs="仿宋_GB2312"/>
          <w:sz w:val="28"/>
          <w:szCs w:val="28"/>
        </w:rPr>
        <w:t>深圳</w:t>
      </w:r>
    </w:p>
    <w:p>
      <w:pPr>
        <w:spacing w:line="600" w:lineRule="exact"/>
        <w:ind w:left="424" w:leftChars="202" w:firstLine="417" w:firstLineChars="14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21" w:name="_Toc419986986"/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服务期限：</w:t>
      </w:r>
      <w:bookmarkEnd w:id="21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45天</w:t>
      </w:r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bookmarkStart w:id="22" w:name="_Toc419986987"/>
      <w:r>
        <w:rPr>
          <w:rFonts w:hint="eastAsia" w:ascii="仿宋_GB2312" w:hAnsi="仿宋_GB2312" w:eastAsia="仿宋_GB2312" w:cs="仿宋_GB2312"/>
          <w:b/>
          <w:sz w:val="28"/>
          <w:szCs w:val="28"/>
        </w:rPr>
        <w:t>（二）付款条件</w:t>
      </w:r>
      <w:bookmarkEnd w:id="22"/>
      <w:bookmarkStart w:id="23" w:name="_Toc419986989"/>
    </w:p>
    <w:p>
      <w:pPr>
        <w:spacing w:line="600" w:lineRule="exact"/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合同签订后一个月内</w:t>
      </w:r>
    </w:p>
    <w:bookmarkEnd w:id="23"/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bookmarkStart w:id="24" w:name="_Toc419986991"/>
      <w:r>
        <w:rPr>
          <w:rFonts w:hint="eastAsia" w:ascii="仿宋_GB2312" w:hAnsi="仿宋_GB2312" w:eastAsia="仿宋_GB2312" w:cs="仿宋_GB2312"/>
          <w:b/>
          <w:sz w:val="28"/>
          <w:szCs w:val="28"/>
        </w:rPr>
        <w:t>（四）服务保障及相应的时间要求</w:t>
      </w:r>
      <w:bookmarkEnd w:id="24"/>
    </w:p>
    <w:p>
      <w:pPr>
        <w:pStyle w:val="4"/>
        <w:spacing w:beforeLines="50" w:afterLines="50" w:line="160" w:lineRule="atLeast"/>
        <w:ind w:left="480" w:firstLine="3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甲乙双方签订合同并且乙方开始对甲方进行盘点之日起，盘点周期为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四十五</w:t>
      </w:r>
      <w:r>
        <w:rPr>
          <w:rFonts w:hint="eastAsia" w:ascii="仿宋_GB2312" w:hAnsi="仿宋_GB2312" w:eastAsia="仿宋_GB2312" w:cs="仿宋_GB2312"/>
          <w:sz w:val="28"/>
          <w:szCs w:val="28"/>
        </w:rPr>
        <w:t>个工作日，在所规定之日内乙方向甲方提交相关盘点工作表和盘点报告。</w:t>
      </w:r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bookmarkStart w:id="25" w:name="_Toc419986996"/>
      <w:r>
        <w:rPr>
          <w:rFonts w:hint="eastAsia" w:ascii="仿宋_GB2312" w:hAnsi="仿宋_GB2312" w:eastAsia="仿宋_GB2312" w:cs="仿宋_GB2312"/>
          <w:b/>
          <w:sz w:val="28"/>
          <w:szCs w:val="28"/>
        </w:rPr>
        <w:t>（五）服务时间</w:t>
      </w:r>
      <w:bookmarkEnd w:id="25"/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45天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本需求书由何香凝美术馆办公室制定并解释，自印发之日起施行。</w:t>
      </w:r>
    </w:p>
    <w:sectPr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051B8"/>
    <w:multiLevelType w:val="singleLevel"/>
    <w:tmpl w:val="18F051B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FF2193A"/>
    <w:multiLevelType w:val="multilevel"/>
    <w:tmpl w:val="2FF2193A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jdiZWI2MjE1OTk5NjA2NGIwM2I3Njg1ZDJkN2QifQ=="/>
  </w:docVars>
  <w:rsids>
    <w:rsidRoot w:val="209F3FF6"/>
    <w:rsid w:val="00020CA0"/>
    <w:rsid w:val="00023E65"/>
    <w:rsid w:val="000A2DC8"/>
    <w:rsid w:val="000E2E4A"/>
    <w:rsid w:val="001010FC"/>
    <w:rsid w:val="0011549A"/>
    <w:rsid w:val="00127DFB"/>
    <w:rsid w:val="00150042"/>
    <w:rsid w:val="001516A0"/>
    <w:rsid w:val="00183A29"/>
    <w:rsid w:val="001912F9"/>
    <w:rsid w:val="001A4BB2"/>
    <w:rsid w:val="001C1771"/>
    <w:rsid w:val="002C3032"/>
    <w:rsid w:val="002E7881"/>
    <w:rsid w:val="00321433"/>
    <w:rsid w:val="00390346"/>
    <w:rsid w:val="003F305B"/>
    <w:rsid w:val="0040181D"/>
    <w:rsid w:val="0047560A"/>
    <w:rsid w:val="004B0750"/>
    <w:rsid w:val="004F1295"/>
    <w:rsid w:val="004F5BBC"/>
    <w:rsid w:val="00512504"/>
    <w:rsid w:val="005F7492"/>
    <w:rsid w:val="005F7BF8"/>
    <w:rsid w:val="00635BE6"/>
    <w:rsid w:val="00680246"/>
    <w:rsid w:val="0068591B"/>
    <w:rsid w:val="00686AE0"/>
    <w:rsid w:val="00712EB1"/>
    <w:rsid w:val="007269D5"/>
    <w:rsid w:val="00737DE7"/>
    <w:rsid w:val="007806DB"/>
    <w:rsid w:val="007E0F5C"/>
    <w:rsid w:val="008154A4"/>
    <w:rsid w:val="00832C9E"/>
    <w:rsid w:val="0083653D"/>
    <w:rsid w:val="00856918"/>
    <w:rsid w:val="008722F7"/>
    <w:rsid w:val="0093548A"/>
    <w:rsid w:val="00940FCA"/>
    <w:rsid w:val="009A32C9"/>
    <w:rsid w:val="00A35D79"/>
    <w:rsid w:val="00A92197"/>
    <w:rsid w:val="00AA3462"/>
    <w:rsid w:val="00AB581A"/>
    <w:rsid w:val="00AD0BD0"/>
    <w:rsid w:val="00AD7CC1"/>
    <w:rsid w:val="00AF2461"/>
    <w:rsid w:val="00B351AC"/>
    <w:rsid w:val="00B370B0"/>
    <w:rsid w:val="00B44621"/>
    <w:rsid w:val="00B8194C"/>
    <w:rsid w:val="00BA7F6E"/>
    <w:rsid w:val="00BB1F2B"/>
    <w:rsid w:val="00C33416"/>
    <w:rsid w:val="00C401C2"/>
    <w:rsid w:val="00C73A6F"/>
    <w:rsid w:val="00C8142E"/>
    <w:rsid w:val="00CD531C"/>
    <w:rsid w:val="00D12BE1"/>
    <w:rsid w:val="00D20FF6"/>
    <w:rsid w:val="00D650ED"/>
    <w:rsid w:val="00DE390E"/>
    <w:rsid w:val="00DF384F"/>
    <w:rsid w:val="00E65023"/>
    <w:rsid w:val="00E8646B"/>
    <w:rsid w:val="00EA0FD5"/>
    <w:rsid w:val="00EB6D19"/>
    <w:rsid w:val="00F26E2D"/>
    <w:rsid w:val="00F518E1"/>
    <w:rsid w:val="00F82C5C"/>
    <w:rsid w:val="00FE5AE6"/>
    <w:rsid w:val="00FE5FF9"/>
    <w:rsid w:val="00FE6451"/>
    <w:rsid w:val="01305A76"/>
    <w:rsid w:val="02C33A46"/>
    <w:rsid w:val="05CA4462"/>
    <w:rsid w:val="08D53AF6"/>
    <w:rsid w:val="0ECF2005"/>
    <w:rsid w:val="10192BB2"/>
    <w:rsid w:val="16042B1F"/>
    <w:rsid w:val="17822638"/>
    <w:rsid w:val="18D12C82"/>
    <w:rsid w:val="19236BF8"/>
    <w:rsid w:val="198545AA"/>
    <w:rsid w:val="1A970B73"/>
    <w:rsid w:val="2098686D"/>
    <w:rsid w:val="209F3FF6"/>
    <w:rsid w:val="2697352D"/>
    <w:rsid w:val="26E627DF"/>
    <w:rsid w:val="27E0273B"/>
    <w:rsid w:val="283A62D5"/>
    <w:rsid w:val="2CBB1D2E"/>
    <w:rsid w:val="2D3D2D3F"/>
    <w:rsid w:val="2D5F45B5"/>
    <w:rsid w:val="2FC10006"/>
    <w:rsid w:val="372D4520"/>
    <w:rsid w:val="3CD1590F"/>
    <w:rsid w:val="42332734"/>
    <w:rsid w:val="46EF5460"/>
    <w:rsid w:val="47B0255F"/>
    <w:rsid w:val="48C8307A"/>
    <w:rsid w:val="4CCE037B"/>
    <w:rsid w:val="4E6E1F29"/>
    <w:rsid w:val="4F5A5106"/>
    <w:rsid w:val="4FE6757E"/>
    <w:rsid w:val="51071D8F"/>
    <w:rsid w:val="51C06B29"/>
    <w:rsid w:val="55AA42E8"/>
    <w:rsid w:val="59E32478"/>
    <w:rsid w:val="5EAE0389"/>
    <w:rsid w:val="6161331D"/>
    <w:rsid w:val="6A7A59E2"/>
    <w:rsid w:val="6ADA784B"/>
    <w:rsid w:val="6C8E07F9"/>
    <w:rsid w:val="6D535020"/>
    <w:rsid w:val="6D9F2D69"/>
    <w:rsid w:val="6E780066"/>
    <w:rsid w:val="727A14FE"/>
    <w:rsid w:val="77F220C9"/>
    <w:rsid w:val="780F283F"/>
    <w:rsid w:val="7D4129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2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3</Pages>
  <Words>1043</Words>
  <Characters>1046</Characters>
  <Lines>12</Lines>
  <Paragraphs>3</Paragraphs>
  <TotalTime>2</TotalTime>
  <ScaleCrop>false</ScaleCrop>
  <LinksUpToDate>false</LinksUpToDate>
  <CharactersWithSpaces>1046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2020-05-11T23:40:00Z</dcterms:created>
  <dc:creator>姜小姜</dc:creator>
  <cp:lastModifiedBy>阿尔</cp:lastModifiedBy>
  <cp:lastPrinted>2020-05-14T06:32:00Z</cp:lastPrinted>
  <dcterms:modified xsi:type="dcterms:W3CDTF">2023-06-29T06:28:50Z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2752F316C5FF4CBCB25EF9F73A3D6084_12</vt:lpwstr>
  </property>
</Properties>
</file>