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val="en-US" w:eastAsia="zh-CN"/>
        </w:rPr>
      </w:pPr>
      <w:bookmarkStart w:id="0" w:name="_Toc46308684"/>
      <w:bookmarkStart w:id="1" w:name="_Toc37663392"/>
      <w:bookmarkStart w:id="2" w:name="_Toc37569520"/>
      <w:bookmarkStart w:id="3" w:name="_Toc37331039"/>
      <w:bookmarkStart w:id="4" w:name="_Toc37581421"/>
      <w:bookmarkStart w:id="5" w:name="_Toc46308528"/>
      <w:bookmarkStart w:id="6" w:name="_Toc37331081"/>
      <w:bookmarkStart w:id="7" w:name="_Toc40762371"/>
      <w:bookmarkStart w:id="8" w:name="_Toc37245277"/>
      <w:r>
        <w:rPr>
          <w:rFonts w:hint="eastAsia" w:ascii="黑体" w:hAnsi="黑体" w:eastAsia="黑体"/>
          <w:sz w:val="44"/>
          <w:szCs w:val="44"/>
        </w:rPr>
        <w:t>关于“唯我与君同性情——何香凝、柳亚子的革命友谊与艺术交往”学术</w:t>
      </w:r>
      <w:r>
        <w:rPr>
          <w:rFonts w:hint="eastAsia" w:ascii="黑体" w:hAnsi="黑体" w:eastAsia="黑体"/>
          <w:sz w:val="44"/>
          <w:szCs w:val="44"/>
          <w:lang w:val="en-US" w:eastAsia="zh-CN"/>
        </w:rPr>
        <w:t>专题</w:t>
      </w:r>
      <w:r>
        <w:rPr>
          <w:rFonts w:hint="eastAsia" w:ascii="黑体" w:hAnsi="黑体" w:eastAsia="黑体"/>
          <w:sz w:val="44"/>
          <w:szCs w:val="44"/>
        </w:rPr>
        <w:t>展</w:t>
      </w:r>
      <w:r>
        <w:rPr>
          <w:rFonts w:hint="eastAsia" w:ascii="黑体" w:hAnsi="黑体" w:eastAsia="黑体"/>
          <w:sz w:val="44"/>
          <w:szCs w:val="44"/>
          <w:lang w:val="en-US" w:eastAsia="zh-CN"/>
        </w:rPr>
        <w:t>采购运输服务、保险服务需求书</w:t>
      </w:r>
    </w:p>
    <w:p>
      <w:pPr>
        <w:rPr>
          <w:rFonts w:hint="default" w:ascii="黑体" w:hAnsi="黑体" w:eastAsia="黑体"/>
          <w:sz w:val="44"/>
          <w:szCs w:val="44"/>
          <w:lang w:val="en-US" w:eastAsia="zh-CN"/>
        </w:rPr>
      </w:pPr>
    </w:p>
    <w:bookmarkEnd w:id="0"/>
    <w:bookmarkEnd w:id="1"/>
    <w:bookmarkEnd w:id="2"/>
    <w:bookmarkEnd w:id="3"/>
    <w:bookmarkEnd w:id="4"/>
    <w:bookmarkEnd w:id="5"/>
    <w:bookmarkEnd w:id="6"/>
    <w:bookmarkEnd w:id="7"/>
    <w:bookmarkEnd w:id="8"/>
    <w:p>
      <w:pPr>
        <w:spacing w:line="600" w:lineRule="exact"/>
        <w:ind w:firstLine="562" w:firstLineChars="200"/>
        <w:outlineLvl w:val="1"/>
        <w:rPr>
          <w:rFonts w:ascii="宋体" w:hAnsi="宋体" w:eastAsia="宋体" w:cs="宋体"/>
          <w:b/>
          <w:sz w:val="28"/>
          <w:szCs w:val="28"/>
        </w:rPr>
      </w:pPr>
      <w:bookmarkStart w:id="9"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具有独立承担民事责任的能力（提供法人或者其他组织的营业执照，自然人的身份证明）；</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具有良好的商业信誉和健全的财务会计制度（提供参加本次谈判活动前</w:t>
      </w:r>
      <w:r>
        <w:rPr>
          <w:rFonts w:hint="eastAsia" w:ascii="仿宋" w:hAnsi="仿宋" w:eastAsia="仿宋" w:cs="仿宋"/>
          <w:color w:val="000000"/>
          <w:sz w:val="28"/>
          <w:szCs w:val="28"/>
          <w:lang w:val="en-US"/>
        </w:rPr>
        <w:t>一</w:t>
      </w:r>
      <w:r>
        <w:rPr>
          <w:rFonts w:hint="eastAsia" w:ascii="仿宋" w:hAnsi="仿宋" w:eastAsia="仿宋" w:cs="仿宋"/>
          <w:color w:val="000000"/>
          <w:sz w:val="28"/>
          <w:szCs w:val="28"/>
          <w:lang w:val="en-US" w:eastAsia="zh-CN"/>
        </w:rPr>
        <w:t>年</w:t>
      </w:r>
      <w:r>
        <w:rPr>
          <w:rFonts w:hint="eastAsia" w:ascii="仿宋" w:hAnsi="仿宋" w:eastAsia="仿宋" w:cs="仿宋"/>
          <w:sz w:val="28"/>
          <w:szCs w:val="28"/>
        </w:rPr>
        <w:t>的</w:t>
      </w:r>
      <w:r>
        <w:rPr>
          <w:rFonts w:hint="eastAsia" w:ascii="仿宋" w:hAnsi="仿宋" w:eastAsia="仿宋" w:cs="仿宋"/>
          <w:sz w:val="28"/>
          <w:szCs w:val="28"/>
          <w:lang w:val="en-US" w:eastAsia="zh-CN"/>
        </w:rPr>
        <w:t>审计报告</w:t>
      </w:r>
      <w:r>
        <w:rPr>
          <w:rFonts w:hint="eastAsia" w:ascii="仿宋" w:hAnsi="仿宋" w:eastAsia="仿宋" w:cs="仿宋"/>
          <w:sz w:val="28"/>
          <w:szCs w:val="28"/>
        </w:rPr>
        <w:t>）</w:t>
      </w:r>
      <w:r>
        <w:rPr>
          <w:rFonts w:hint="eastAsia" w:ascii="仿宋" w:hAnsi="仿宋" w:eastAsia="仿宋" w:cs="仿宋"/>
          <w:color w:val="000000"/>
          <w:sz w:val="28"/>
          <w:szCs w:val="28"/>
        </w:rPr>
        <w:t>；</w:t>
      </w:r>
    </w:p>
    <w:p>
      <w:pPr>
        <w:autoSpaceDE w:val="0"/>
        <w:autoSpaceDN w:val="0"/>
        <w:adjustRightInd w:val="0"/>
        <w:spacing w:line="360" w:lineRule="auto"/>
        <w:rPr>
          <w:rFonts w:ascii="宋体" w:hAnsi="宋体" w:eastAsia="宋体"/>
          <w:color w:val="000000"/>
          <w:sz w:val="24"/>
          <w:szCs w:val="24"/>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具有履行合同所必需的设备和专业技术能力（根据项目需求提供</w:t>
      </w:r>
      <w:r>
        <w:rPr>
          <w:rFonts w:hint="eastAsia" w:ascii="仿宋" w:hAnsi="仿宋" w:eastAsia="仿宋" w:cs="仿宋"/>
          <w:sz w:val="28"/>
          <w:szCs w:val="28"/>
        </w:rPr>
        <w:t>履行合同所必需的设备和专业技术能力的证明材料或相关加盖公章的承诺函）</w:t>
      </w:r>
      <w:r>
        <w:rPr>
          <w:rFonts w:hint="eastAsia" w:ascii="仿宋" w:hAnsi="仿宋" w:eastAsia="仿宋" w:cs="仿宋"/>
          <w:color w:val="000000"/>
          <w:sz w:val="28"/>
          <w:szCs w:val="28"/>
        </w:rPr>
        <w:t>；</w:t>
      </w:r>
      <w:r>
        <w:rPr>
          <w:rFonts w:hint="eastAsia" w:ascii="宋体" w:hAnsi="宋体" w:eastAsia="宋体"/>
          <w:color w:val="000000"/>
          <w:sz w:val="24"/>
          <w:szCs w:val="24"/>
        </w:rPr>
        <w:t xml:space="preserve"> </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、投标人参与本项目投标前三年内，在经营活动中没有重大违法记录（由供应商在《投标人具备投标资格的证明文件》中作出声明）。</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5、法律、行政法规规定的其他条件。</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6、投标人应为具有为本采购项目提供艺术品保险服务的大型保险公司。投标人理赔响应高效、具备全国修复网络、项目负责人具备丰富艺术品保险经验者更佳。</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7、投标人从事过国家文物展览运输服务者可优先考虑。</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8、投标人应负责采购本项目的运输保险、展期保险。（保险公司在国内具备五年及以上艺术品保险服务经验者）。</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9、本项目不接受联合体参与竞争。</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9"/>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4"/>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19</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以合同时间为准</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spacing w:line="360" w:lineRule="auto"/>
        <w:ind w:firstLine="560" w:firstLineChars="200"/>
        <w:jc w:val="left"/>
        <w:rPr>
          <w:rFonts w:ascii="宋体" w:hAnsi="宋体" w:eastAsia="宋体"/>
          <w:bCs/>
          <w:sz w:val="24"/>
          <w:szCs w:val="24"/>
          <w:lang w:val="en-US"/>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w:t>
      </w:r>
      <w:r>
        <w:rPr>
          <w:rFonts w:hint="eastAsia" w:ascii="仿宋" w:hAnsi="仿宋" w:eastAsia="仿宋" w:cs="仿宋"/>
          <w:bCs/>
          <w:sz w:val="28"/>
          <w:szCs w:val="28"/>
          <w:lang w:val="en-US"/>
        </w:rPr>
        <w:t>报价应包括交付使用前的所有费用</w:t>
      </w:r>
      <w:r>
        <w:rPr>
          <w:rFonts w:hint="eastAsia" w:ascii="仿宋" w:hAnsi="仿宋" w:eastAsia="仿宋" w:cs="仿宋"/>
          <w:bCs/>
          <w:sz w:val="28"/>
          <w:szCs w:val="28"/>
          <w:lang w:val="en-US" w:eastAsia="zh-CN"/>
        </w:rPr>
        <w:t>，含</w:t>
      </w:r>
      <w:r>
        <w:rPr>
          <w:rFonts w:hint="eastAsia" w:ascii="仿宋" w:hAnsi="仿宋" w:eastAsia="仿宋" w:cs="仿宋"/>
          <w:bCs/>
          <w:sz w:val="28"/>
          <w:szCs w:val="28"/>
          <w:lang w:val="en-US"/>
        </w:rPr>
        <w:t>国家强制缴纳的费用</w:t>
      </w:r>
      <w:r>
        <w:rPr>
          <w:rFonts w:hint="eastAsia" w:ascii="仿宋" w:hAnsi="仿宋" w:eastAsia="仿宋" w:cs="仿宋"/>
          <w:bCs/>
          <w:sz w:val="28"/>
          <w:szCs w:val="28"/>
        </w:rPr>
        <w:t>。</w:t>
      </w:r>
    </w:p>
    <w:p>
      <w:pPr>
        <w:tabs>
          <w:tab w:val="left" w:pos="540"/>
        </w:tabs>
        <w:adjustRightInd w:val="0"/>
        <w:snapToGrid w:val="0"/>
        <w:spacing w:line="600" w:lineRule="exact"/>
        <w:ind w:right="-181" w:rightChars="-86" w:firstLine="560" w:firstLineChars="200"/>
        <w:jc w:val="left"/>
        <w:rPr>
          <w:rFonts w:ascii="仿宋_GB2312" w:hAnsi="仿宋_GB2312" w:eastAsia="仿宋_GB2312" w:cs="仿宋_GB2312"/>
          <w:snapToGrid w:val="0"/>
          <w:sz w:val="28"/>
          <w:szCs w:val="28"/>
        </w:rPr>
      </w:pPr>
    </w:p>
    <w:p>
      <w:pPr>
        <w:spacing w:line="600" w:lineRule="exact"/>
        <w:ind w:firstLine="562" w:firstLineChars="200"/>
        <w:jc w:val="left"/>
        <w:outlineLvl w:val="1"/>
        <w:rPr>
          <w:rFonts w:ascii="宋体" w:hAnsi="宋体" w:eastAsia="宋体" w:cs="宋体"/>
          <w:b/>
          <w:sz w:val="28"/>
          <w:szCs w:val="28"/>
        </w:rPr>
      </w:pPr>
      <w:bookmarkStart w:id="10" w:name="_Toc419986982"/>
      <w:r>
        <w:rPr>
          <w:rFonts w:hint="eastAsia" w:ascii="宋体" w:hAnsi="宋体" w:eastAsia="宋体" w:cs="宋体"/>
          <w:b/>
          <w:sz w:val="28"/>
          <w:szCs w:val="28"/>
        </w:rPr>
        <w:t>三、招标范围及要求</w:t>
      </w:r>
      <w:bookmarkEnd w:id="10"/>
    </w:p>
    <w:p>
      <w:pPr>
        <w:widowControl/>
        <w:shd w:val="clear" w:color="auto" w:fill="FFFFFF"/>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widowControl/>
        <w:shd w:val="clear" w:color="auto" w:fill="FFFFFF"/>
        <w:spacing w:line="360" w:lineRule="auto"/>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何香凝美术馆将举办</w:t>
      </w:r>
      <w:r>
        <w:rPr>
          <w:rFonts w:hint="eastAsia" w:ascii="仿宋" w:hAnsi="仿宋" w:eastAsia="仿宋" w:cs="仿宋"/>
          <w:sz w:val="28"/>
          <w:szCs w:val="28"/>
          <w:lang w:val="en-US" w:eastAsia="zh-CN"/>
        </w:rPr>
        <w:t>“唯我与君同性情——何香凝、柳亚子的革命友谊与艺术交往”学术专题展</w:t>
      </w:r>
      <w:r>
        <w:rPr>
          <w:rFonts w:hint="eastAsia" w:ascii="仿宋" w:hAnsi="仿宋" w:eastAsia="仿宋" w:cs="仿宋"/>
          <w:color w:val="000000"/>
          <w:sz w:val="28"/>
          <w:szCs w:val="28"/>
        </w:rPr>
        <w:t>，要求供应商完成展览</w:t>
      </w:r>
      <w:r>
        <w:rPr>
          <w:rFonts w:hint="eastAsia" w:ascii="仿宋" w:hAnsi="仿宋" w:eastAsia="仿宋" w:cs="仿宋"/>
          <w:color w:val="000000"/>
          <w:sz w:val="28"/>
          <w:szCs w:val="28"/>
          <w:lang w:val="en-US" w:eastAsia="zh-CN"/>
        </w:rPr>
        <w:t>期间的</w:t>
      </w:r>
      <w:r>
        <w:rPr>
          <w:rFonts w:hint="eastAsia" w:ascii="仿宋" w:hAnsi="仿宋" w:eastAsia="仿宋" w:cs="仿宋"/>
          <w:color w:val="000000"/>
          <w:sz w:val="28"/>
          <w:szCs w:val="28"/>
        </w:rPr>
        <w:t>文物</w:t>
      </w:r>
      <w:r>
        <w:rPr>
          <w:rFonts w:hint="eastAsia" w:ascii="仿宋" w:hAnsi="仿宋" w:eastAsia="仿宋" w:cs="仿宋"/>
          <w:color w:val="000000"/>
          <w:sz w:val="28"/>
          <w:szCs w:val="28"/>
          <w:lang w:val="en-US" w:eastAsia="zh-CN"/>
        </w:rPr>
        <w:t>运输（含运输保险、展期保险）。藏品借于</w:t>
      </w:r>
      <w:r>
        <w:rPr>
          <w:rFonts w:hint="eastAsia" w:ascii="仿宋" w:hAnsi="仿宋" w:eastAsia="仿宋" w:cs="仿宋"/>
          <w:sz w:val="28"/>
          <w:szCs w:val="28"/>
          <w:lang w:val="en-US" w:eastAsia="zh-CN"/>
        </w:rPr>
        <w:t>苏州博物馆、北京画院、中国美术馆、广东省博物馆、广州艺术博物馆、柳亚子纪念馆等机构</w:t>
      </w:r>
      <w:r>
        <w:rPr>
          <w:rFonts w:hint="eastAsia" w:ascii="仿宋" w:hAnsi="仿宋" w:eastAsia="仿宋" w:cs="仿宋"/>
          <w:color w:val="000000"/>
          <w:sz w:val="28"/>
          <w:szCs w:val="28"/>
          <w:lang w:val="en-US" w:eastAsia="zh-CN"/>
        </w:rPr>
        <w:t>共34件，藏品总估价2330万元。</w:t>
      </w:r>
      <w:r>
        <w:rPr>
          <w:rFonts w:hint="eastAsia" w:ascii="仿宋" w:hAnsi="仿宋" w:eastAsia="仿宋" w:cs="仿宋"/>
          <w:color w:val="000000"/>
          <w:sz w:val="28"/>
          <w:szCs w:val="28"/>
        </w:rPr>
        <w:t>展览地点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何香凝美术馆。</w:t>
      </w:r>
      <w:r>
        <w:rPr>
          <w:rFonts w:hint="eastAsia" w:ascii="仿宋" w:hAnsi="仿宋" w:eastAsia="仿宋" w:cs="仿宋"/>
          <w:color w:val="000000"/>
          <w:sz w:val="28"/>
          <w:szCs w:val="28"/>
        </w:rPr>
        <w:t>展览时间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12月10日——2023年2月12日。</w:t>
      </w:r>
    </w:p>
    <w:p>
      <w:pPr>
        <w:spacing w:line="600" w:lineRule="exact"/>
        <w:ind w:firstLine="562" w:firstLineChars="200"/>
        <w:rPr>
          <w:rFonts w:ascii="仿宋_GB2312" w:hAnsi="仿宋_GB2312" w:eastAsia="仿宋_GB2312" w:cs="仿宋_GB2312"/>
          <w:b/>
          <w:sz w:val="28"/>
          <w:szCs w:val="28"/>
        </w:rPr>
      </w:pP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服务及</w:t>
      </w:r>
      <w:r>
        <w:rPr>
          <w:rFonts w:hint="eastAsia" w:ascii="仿宋_GB2312" w:hAnsi="仿宋_GB2312" w:eastAsia="仿宋_GB2312" w:cs="仿宋_GB2312"/>
          <w:b/>
          <w:sz w:val="28"/>
          <w:szCs w:val="28"/>
        </w:rPr>
        <w:t>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为所有借展文物</w:t>
      </w:r>
      <w:r>
        <w:rPr>
          <w:rFonts w:hint="eastAsia" w:ascii="仿宋" w:hAnsi="仿宋" w:eastAsia="仿宋" w:cs="仿宋"/>
          <w:color w:val="000000"/>
          <w:sz w:val="28"/>
          <w:szCs w:val="28"/>
          <w:lang w:val="en-US" w:eastAsia="zh-CN"/>
        </w:rPr>
        <w:t>门到门</w:t>
      </w:r>
      <w:r>
        <w:rPr>
          <w:rFonts w:hint="eastAsia" w:ascii="仿宋" w:hAnsi="仿宋" w:eastAsia="仿宋" w:cs="仿宋"/>
          <w:color w:val="000000"/>
          <w:sz w:val="28"/>
          <w:szCs w:val="28"/>
        </w:rPr>
        <w:t>往返</w:t>
      </w:r>
      <w:r>
        <w:rPr>
          <w:rFonts w:hint="eastAsia" w:ascii="仿宋" w:hAnsi="仿宋" w:eastAsia="仿宋" w:cs="仿宋"/>
          <w:color w:val="000000"/>
          <w:sz w:val="28"/>
          <w:szCs w:val="28"/>
          <w:lang w:val="en-US" w:eastAsia="zh-CN"/>
        </w:rPr>
        <w:t>运输服务（含包装服务）、作品保险（含运输、展期保险）</w:t>
      </w:r>
      <w:r>
        <w:rPr>
          <w:rFonts w:hint="eastAsia" w:ascii="仿宋" w:hAnsi="仿宋" w:eastAsia="仿宋" w:cs="仿宋"/>
          <w:color w:val="000000"/>
          <w:sz w:val="28"/>
          <w:szCs w:val="28"/>
          <w:lang w:eastAsia="zh-CN"/>
        </w:rPr>
        <w:t>。</w:t>
      </w:r>
    </w:p>
    <w:p>
      <w:pPr>
        <w:spacing w:line="600" w:lineRule="exact"/>
        <w:ind w:firstLine="562" w:firstLineChars="200"/>
        <w:rPr>
          <w:rFonts w:hint="eastAsia" w:ascii="Times New Roman" w:hAnsi="Times New Roman" w:eastAsia="仿宋_GB2312" w:cs="Times New Roman"/>
          <w:b/>
          <w:bCs/>
          <w:kern w:val="0"/>
          <w:sz w:val="28"/>
          <w:szCs w:val="28"/>
          <w:lang w:val="en-US" w:eastAsia="zh-CN"/>
        </w:rPr>
      </w:pPr>
      <w:r>
        <w:rPr>
          <w:rFonts w:hint="eastAsia" w:ascii="Times New Roman" w:hAnsi="Times New Roman" w:eastAsia="仿宋_GB2312" w:cs="Times New Roman"/>
          <w:b/>
          <w:bCs/>
          <w:kern w:val="0"/>
          <w:sz w:val="28"/>
          <w:szCs w:val="28"/>
          <w:lang w:val="en-US" w:eastAsia="zh-CN"/>
        </w:rPr>
        <w:t>2、技术条款要求</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承诺可以按时保质完成相关展品包装、运输工作，并配备好相应人员。</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承诺对于采购人（何香凝美术馆）指派的任务，可以无条件的完全响应，保证项目的顺利完成，不因项目的大小而拒绝接受工作。</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承诺在项目操作过程中，严格按照专业标准安全实施操作。杜绝非专业人员、非专业设备介入项目操作。杜绝与非采购人项目共用项目资源，包括人员、车辆以及临时存储库房。</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保证使用专业展品运输车辆，配备避震、车内消防设备、GPS定位及防盗功能，GPS功能向何香凝美术馆负责人开放查看权限。</w:t>
      </w:r>
    </w:p>
    <w:p>
      <w:pPr>
        <w:spacing w:line="360" w:lineRule="auto"/>
        <w:ind w:firstLine="560" w:firstLineChars="200"/>
        <w:jc w:val="left"/>
        <w:rPr>
          <w:rFonts w:hint="eastAsia" w:ascii="仿宋" w:hAnsi="仿宋" w:eastAsia="仿宋" w:cs="仿宋"/>
          <w:color w:val="000000"/>
          <w:sz w:val="28"/>
          <w:szCs w:val="28"/>
          <w:lang w:eastAsia="zh-CN"/>
        </w:rPr>
      </w:pP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lang w:val="en-US" w:eastAsia="zh-CN"/>
        </w:rPr>
        <w:t>运输服务（含运输、展期保险）报价</w:t>
      </w:r>
      <w:r>
        <w:rPr>
          <w:rFonts w:hint="eastAsia" w:ascii="宋体" w:hAnsi="宋体" w:eastAsia="宋体" w:cs="宋体"/>
          <w:b/>
          <w:sz w:val="28"/>
          <w:szCs w:val="28"/>
        </w:rPr>
        <w:t>表</w:t>
      </w:r>
    </w:p>
    <w:p>
      <w:pPr>
        <w:pStyle w:val="3"/>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4"/>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4"/>
              <w:tblW w:w="9940" w:type="dxa"/>
              <w:tblInd w:w="0" w:type="dxa"/>
              <w:tblLayout w:type="autofit"/>
              <w:tblCellMar>
                <w:top w:w="0" w:type="dxa"/>
                <w:left w:w="108" w:type="dxa"/>
                <w:bottom w:w="0" w:type="dxa"/>
                <w:right w:w="108" w:type="dxa"/>
              </w:tblCellMar>
            </w:tblPr>
            <w:tblGrid>
              <w:gridCol w:w="821"/>
              <w:gridCol w:w="2230"/>
              <w:gridCol w:w="1012"/>
              <w:gridCol w:w="870"/>
              <w:gridCol w:w="1427"/>
              <w:gridCol w:w="1016"/>
              <w:gridCol w:w="1562"/>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宋体" w:hAnsi="宋体" w:eastAsia="宋体" w:cs="宋体"/>
                      <w:b/>
                      <w:sz w:val="44"/>
                      <w:szCs w:val="44"/>
                      <w:lang w:val="en-US" w:eastAsia="zh-CN"/>
                    </w:rPr>
                    <w:t>运输服务（含运输、展期保险）</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bCs/>
                      <w:kern w:val="0"/>
                      <w:sz w:val="24"/>
                      <w:lang w:val="en-US"/>
                    </w:rPr>
                  </w:pPr>
                  <w:r>
                    <w:rPr>
                      <w:rFonts w:hint="eastAsia" w:ascii="仿宋" w:hAnsi="仿宋" w:eastAsia="仿宋" w:cs="仿宋"/>
                      <w:b/>
                      <w:color w:val="000000"/>
                      <w:kern w:val="0"/>
                      <w:sz w:val="24"/>
                      <w:lang w:val="en-US" w:eastAsia="zh-CN"/>
                    </w:rPr>
                    <w:t>运输服务费</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bCs/>
                      <w:kern w:val="0"/>
                      <w:sz w:val="24"/>
                      <w:lang w:val="en-US" w:eastAsia="zh-CN"/>
                    </w:rPr>
                  </w:pPr>
                  <w:r>
                    <w:rPr>
                      <w:rFonts w:hint="eastAsia" w:ascii="仿宋" w:hAnsi="仿宋" w:eastAsia="仿宋" w:cs="仿宋"/>
                      <w:b/>
                      <w:color w:val="000000"/>
                      <w:kern w:val="0"/>
                      <w:sz w:val="24"/>
                      <w:lang w:val="en-US" w:eastAsia="zh-CN"/>
                    </w:rPr>
                    <w:t>总保</w:t>
                  </w:r>
                  <w:r>
                    <w:rPr>
                      <w:rFonts w:hint="eastAsia" w:ascii="仿宋" w:hAnsi="仿宋" w:eastAsia="仿宋" w:cs="仿宋"/>
                      <w:b/>
                      <w:color w:val="000000"/>
                      <w:kern w:val="0"/>
                      <w:sz w:val="24"/>
                    </w:rPr>
                    <w:t>价</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1364"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sz w:val="28"/>
                      <w:szCs w:val="28"/>
                      <w:lang w:val="en-US" w:eastAsia="zh-CN"/>
                    </w:rPr>
                    <w:t>苏州博物馆、北京画院、中国美术馆、广东省博物馆、广州艺术博物馆、柳亚子纪念馆</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34</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件</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szCs w:val="24"/>
                      <w:lang w:val="en-US" w:eastAsia="zh-CN" w:bidi="ar-SA"/>
                    </w:rPr>
                  </w:pPr>
                  <w:r>
                    <w:rPr>
                      <w:rFonts w:hint="eastAsia" w:ascii="仿宋" w:hAnsi="仿宋" w:eastAsia="仿宋" w:cs="仿宋"/>
                      <w:color w:val="000000"/>
                      <w:sz w:val="28"/>
                      <w:szCs w:val="28"/>
                      <w:lang w:val="en-US" w:eastAsia="zh-CN"/>
                    </w:rPr>
                    <w:t>2330</w:t>
                  </w:r>
                  <w:bookmarkStart w:id="19" w:name="_GoBack"/>
                  <w:bookmarkEnd w:id="19"/>
                  <w:r>
                    <w:rPr>
                      <w:rFonts w:hint="eastAsia"/>
                      <w:b/>
                      <w:bCs/>
                    </w:rPr>
                    <w:t>万</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b/>
                      <w:bCs/>
                      <w:kern w:val="0"/>
                      <w:sz w:val="24"/>
                      <w:lang w:val="en-US" w:eastAsia="zh-CN"/>
                    </w:rPr>
                  </w:pPr>
                </w:p>
              </w:tc>
              <w:tc>
                <w:tcPr>
                  <w:tcW w:w="2230"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b/>
                      <w:bCs/>
                      <w:kern w:val="0"/>
                      <w:sz w:val="24"/>
                      <w:lang w:val="en-US" w:eastAsia="zh-CN"/>
                    </w:rPr>
                  </w:pPr>
                </w:p>
              </w:tc>
              <w:tc>
                <w:tcPr>
                  <w:tcW w:w="1012"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kern w:val="0"/>
                      <w:sz w:val="24"/>
                      <w:lang w:val="en-US" w:eastAsia="zh-CN"/>
                    </w:rPr>
                  </w:pPr>
                </w:p>
              </w:tc>
              <w:tc>
                <w:tcPr>
                  <w:tcW w:w="870" w:type="dxa"/>
                  <w:tcBorders>
                    <w:top w:val="nil"/>
                    <w:left w:val="nil"/>
                    <w:bottom w:val="single" w:color="auto" w:sz="4" w:space="0"/>
                    <w:right w:val="single" w:color="auto" w:sz="4" w:space="0"/>
                  </w:tcBorders>
                  <w:shd w:val="clear" w:color="000000" w:fill="FFFFFF"/>
                  <w:vAlign w:val="center"/>
                </w:tcPr>
                <w:p>
                  <w:pPr>
                    <w:rPr>
                      <w:rFonts w:hint="eastAsia" w:ascii="仿宋" w:hAnsi="仿宋" w:eastAsia="仿宋" w:cs="仿宋"/>
                      <w:kern w:val="0"/>
                      <w:sz w:val="24"/>
                      <w:lang w:val="en-US" w:eastAsia="zh-CN"/>
                    </w:rPr>
                  </w:pPr>
                </w:p>
              </w:tc>
              <w:tc>
                <w:tcPr>
                  <w:tcW w:w="1427"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1" w:name="_Toc419986983"/>
      <w:r>
        <w:rPr>
          <w:rFonts w:hint="eastAsia" w:ascii="宋体" w:hAnsi="宋体" w:eastAsia="宋体" w:cs="宋体"/>
          <w:b/>
          <w:sz w:val="28"/>
          <w:szCs w:val="28"/>
        </w:rPr>
        <w:t>四、商务要求</w:t>
      </w:r>
      <w:bookmarkEnd w:id="11"/>
    </w:p>
    <w:p>
      <w:pPr>
        <w:spacing w:line="600" w:lineRule="exact"/>
        <w:ind w:firstLine="562" w:firstLineChars="200"/>
        <w:outlineLvl w:val="1"/>
        <w:rPr>
          <w:rFonts w:ascii="仿宋_GB2312" w:hAnsi="仿宋_GB2312" w:eastAsia="仿宋_GB2312" w:cs="仿宋_GB2312"/>
          <w:b/>
          <w:sz w:val="28"/>
          <w:szCs w:val="28"/>
        </w:rPr>
      </w:pPr>
      <w:bookmarkStart w:id="12" w:name="_Toc419986864"/>
      <w:bookmarkStart w:id="13" w:name="_Toc419986984"/>
      <w:r>
        <w:rPr>
          <w:rFonts w:hint="eastAsia" w:ascii="仿宋_GB2312" w:hAnsi="仿宋_GB2312" w:eastAsia="仿宋_GB2312" w:cs="仿宋_GB2312"/>
          <w:b/>
          <w:sz w:val="28"/>
          <w:szCs w:val="28"/>
        </w:rPr>
        <w:t>（一）服务地点与时间</w:t>
      </w:r>
      <w:bookmarkEnd w:id="12"/>
      <w:bookmarkEnd w:id="13"/>
    </w:p>
    <w:p>
      <w:pPr>
        <w:spacing w:line="600" w:lineRule="exact"/>
        <w:ind w:left="1130" w:leftChars="337" w:hanging="422" w:hangingChars="151"/>
        <w:rPr>
          <w:rFonts w:hint="default" w:ascii="仿宋_GB2312" w:hAnsi="仿宋_GB2312" w:eastAsia="仿宋_GB2312" w:cs="仿宋_GB2312"/>
          <w:sz w:val="28"/>
          <w:szCs w:val="28"/>
          <w:lang w:val="en-US" w:eastAsia="zh-CN"/>
        </w:rPr>
      </w:pPr>
      <w:bookmarkStart w:id="14"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w:t>
      </w:r>
      <w:bookmarkEnd w:id="14"/>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left="1130" w:leftChars="337" w:hanging="422" w:hangingChars="151"/>
        <w:rPr>
          <w:rFonts w:ascii="仿宋_GB2312" w:hAnsi="仿宋_GB2312" w:eastAsia="仿宋_GB2312" w:cs="仿宋_GB2312"/>
          <w:sz w:val="28"/>
          <w:szCs w:val="28"/>
        </w:rPr>
      </w:pPr>
      <w:bookmarkStart w:id="15"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15"/>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firstLine="562" w:firstLineChars="200"/>
        <w:outlineLvl w:val="1"/>
        <w:rPr>
          <w:rFonts w:ascii="仿宋_GB2312" w:hAnsi="仿宋_GB2312" w:eastAsia="仿宋_GB2312" w:cs="仿宋_GB2312"/>
          <w:b/>
          <w:sz w:val="28"/>
          <w:szCs w:val="28"/>
        </w:rPr>
      </w:pPr>
      <w:bookmarkStart w:id="16" w:name="_Toc419986987"/>
      <w:r>
        <w:rPr>
          <w:rFonts w:hint="eastAsia" w:ascii="仿宋_GB2312" w:hAnsi="仿宋_GB2312" w:eastAsia="仿宋_GB2312" w:cs="仿宋_GB2312"/>
          <w:b/>
          <w:sz w:val="28"/>
          <w:szCs w:val="28"/>
        </w:rPr>
        <w:t>（二）付款条件</w:t>
      </w:r>
      <w:bookmarkEnd w:id="16"/>
    </w:p>
    <w:p>
      <w:pPr>
        <w:spacing w:line="600" w:lineRule="exact"/>
        <w:ind w:firstLine="840" w:firstLineChars="300"/>
        <w:outlineLvl w:val="1"/>
        <w:rPr>
          <w:rFonts w:hint="default" w:ascii="仿宋" w:hAnsi="仿宋" w:eastAsia="仿宋" w:cs="仿宋"/>
          <w:b/>
          <w:sz w:val="28"/>
          <w:szCs w:val="28"/>
          <w:lang w:val="en-US" w:eastAsia="zh-CN"/>
        </w:rPr>
      </w:pPr>
      <w:bookmarkStart w:id="17" w:name="_Toc419986989"/>
      <w:r>
        <w:rPr>
          <w:rFonts w:hint="eastAsia" w:ascii="仿宋" w:hAnsi="仿宋" w:eastAsia="仿宋" w:cs="仿宋"/>
          <w:sz w:val="28"/>
          <w:szCs w:val="28"/>
          <w:lang w:val="en-US" w:eastAsia="zh-CN"/>
        </w:rPr>
        <w:t>1、</w:t>
      </w:r>
      <w:bookmarkEnd w:id="17"/>
      <w:r>
        <w:rPr>
          <w:rFonts w:hint="eastAsia" w:ascii="仿宋" w:hAnsi="仿宋" w:eastAsia="仿宋" w:cs="仿宋"/>
          <w:sz w:val="28"/>
          <w:szCs w:val="28"/>
          <w:lang w:val="en-US" w:eastAsia="zh-CN"/>
        </w:rPr>
        <w:t>缴付以合同为准。</w:t>
      </w:r>
    </w:p>
    <w:p>
      <w:pPr>
        <w:spacing w:line="600" w:lineRule="exact"/>
        <w:ind w:firstLine="562" w:firstLineChars="200"/>
        <w:outlineLvl w:val="1"/>
        <w:rPr>
          <w:rFonts w:hint="eastAsia" w:ascii="仿宋_GB2312" w:hAnsi="仿宋_GB2312" w:eastAsia="仿宋_GB2312" w:cs="仿宋_GB2312"/>
          <w:b/>
          <w:sz w:val="28"/>
          <w:szCs w:val="28"/>
        </w:rPr>
      </w:pPr>
      <w:bookmarkStart w:id="18" w:name="_Toc419986991"/>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）服务保障及相应的时间要求</w:t>
      </w:r>
      <w:bookmarkEnd w:id="18"/>
    </w:p>
    <w:p>
      <w:pPr>
        <w:spacing w:line="360" w:lineRule="auto"/>
        <w:ind w:left="1398" w:leftChars="399" w:hanging="560" w:hangingChars="200"/>
        <w:rPr>
          <w:rFonts w:hint="default" w:ascii="仿宋" w:hAnsi="仿宋" w:eastAsia="仿宋" w:cs="仿宋"/>
          <w:sz w:val="28"/>
          <w:szCs w:val="28"/>
          <w:lang w:val="en-US"/>
        </w:rPr>
      </w:pPr>
      <w:r>
        <w:rPr>
          <w:rFonts w:hint="eastAsia" w:ascii="仿宋" w:hAnsi="仿宋" w:eastAsia="仿宋" w:cs="仿宋"/>
          <w:sz w:val="28"/>
          <w:szCs w:val="28"/>
          <w:lang w:val="en-US" w:eastAsia="zh-CN"/>
        </w:rPr>
        <w:t>1、本保险合同成立后，保险公司应当及时向投保人签发保险凭证。</w:t>
      </w:r>
    </w:p>
    <w:p>
      <w:pPr>
        <w:numPr>
          <w:ilvl w:val="0"/>
          <w:numId w:val="0"/>
        </w:numPr>
        <w:spacing w:line="360"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2、保险公司认为被保险人提供的有关索赔的证明和资料不完整的，应当及时通知投保人、被保险人补充提供。</w:t>
      </w:r>
    </w:p>
    <w:p>
      <w:pPr>
        <w:numPr>
          <w:ilvl w:val="0"/>
          <w:numId w:val="0"/>
        </w:numPr>
        <w:spacing w:line="288"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3、保险公司收到保险人的赔偿保险金的请求后，应当及时作出是否属于保险责任的核定；情形复杂的，应当在三十日内作出核定，但保险合同另有约定的除外</w:t>
      </w:r>
      <w:r>
        <w:rPr>
          <w:rFonts w:hint="eastAsia" w:ascii="仿宋" w:hAnsi="仿宋" w:eastAsia="仿宋" w:cs="仿宋"/>
          <w:sz w:val="28"/>
          <w:szCs w:val="28"/>
        </w:rPr>
        <w:t xml:space="preserve">。 </w:t>
      </w:r>
    </w:p>
    <w:p>
      <w:pPr>
        <w:numPr>
          <w:ilvl w:val="0"/>
          <w:numId w:val="0"/>
        </w:numPr>
        <w:spacing w:line="288" w:lineRule="auto"/>
        <w:ind w:leftChars="0"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4、保险公司自收到赔偿的请求和有关证明、资料之日起六十日内，对其赔偿金数额不能确定的，应当根据已有证明和资料可以确定的数额先予支付；保险公司最终确定赔偿的数额后，应当支付相应的差额。</w:t>
      </w:r>
    </w:p>
    <w:p>
      <w:pPr>
        <w:spacing w:line="360" w:lineRule="auto"/>
        <w:rPr>
          <w:rFonts w:hint="eastAsia" w:ascii="宋体" w:hAnsi="宋体" w:cs="宋体"/>
          <w:sz w:val="24"/>
        </w:rPr>
      </w:pPr>
    </w:p>
    <w:p>
      <w:pPr>
        <w:spacing w:line="600" w:lineRule="exact"/>
        <w:ind w:firstLine="562" w:firstLineChars="200"/>
        <w:outlineLvl w:val="1"/>
        <w:rPr>
          <w:rFonts w:hint="eastAsia" w:ascii="仿宋_GB2312" w:hAnsi="仿宋_GB2312" w:eastAsia="仿宋_GB2312" w:cs="仿宋_GB2312"/>
          <w:b/>
          <w:sz w:val="28"/>
          <w:szCs w:val="28"/>
        </w:rPr>
      </w:pP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办公室</w:t>
      </w:r>
    </w:p>
    <w:p>
      <w:pPr>
        <w:jc w:val="right"/>
        <w:rPr>
          <w:rFonts w:hint="default"/>
          <w:lang w:val="en-US" w:eastAsia="zh-CN"/>
        </w:rPr>
      </w:pPr>
      <w:r>
        <w:rPr>
          <w:rFonts w:hint="eastAsia"/>
          <w:sz w:val="28"/>
          <w:szCs w:val="28"/>
          <w:lang w:val="en-US" w:eastAsia="zh-CN"/>
        </w:rPr>
        <w:t>2022.11.2</w:t>
      </w:r>
    </w:p>
    <w:p/>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MGZkMDkwNDRhNDkxZjNhMDY3YWE1MmIyNTE1ZjQifQ=="/>
  </w:docVars>
  <w:rsids>
    <w:rsidRoot w:val="00000000"/>
    <w:rsid w:val="54835C68"/>
    <w:rsid w:val="787E7E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1508</Words>
  <Characters>1539</Characters>
  <Lines>0</Lines>
  <Paragraphs>0</Paragraphs>
  <TotalTime>3</TotalTime>
  <ScaleCrop>false</ScaleCrop>
  <LinksUpToDate>false</LinksUpToDate>
  <CharactersWithSpaces>1552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2022-11-02T06:54:48Z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0E0946455135478690DF478B760DC044</vt:lpwstr>
  </property>
</Properties>
</file>