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int="default" w:ascii="黑体" w:eastAsia="黑体"/>
          <w:sz w:val="44"/>
          <w:szCs w:val="44"/>
          <w:lang w:val="en-US" w:eastAsia="zh-CN"/>
        </w:rPr>
      </w:pPr>
      <w:bookmarkStart w:id="0" w:name="_Toc101951257"/>
      <w:bookmarkStart w:id="1" w:name="_Toc175644388"/>
      <w:bookmarkStart w:id="2" w:name="_Toc101843124"/>
      <w:bookmarkStart w:id="3" w:name="_Toc101771371"/>
      <w:bookmarkStart w:id="4" w:name="_Toc419986980"/>
      <w:bookmarkStart w:id="5" w:name="_Toc101775124"/>
      <w:r>
        <w:rPr>
          <w:rFonts w:hint="eastAsia" w:ascii="黑体" w:eastAsia="黑体"/>
          <w:sz w:val="44"/>
          <w:szCs w:val="44"/>
          <w:lang w:eastAsia="zh-CN"/>
        </w:rPr>
        <w:t>《</w:t>
      </w:r>
      <w:r>
        <w:rPr>
          <w:rFonts w:hint="eastAsia" w:ascii="黑体" w:eastAsia="黑体"/>
          <w:sz w:val="44"/>
          <w:szCs w:val="44"/>
          <w:lang w:val="en-US" w:eastAsia="zh-CN"/>
        </w:rPr>
        <w:t>何香凝与北京画坛</w:t>
      </w:r>
      <w:r>
        <w:rPr>
          <w:rFonts w:hint="eastAsia" w:ascii="黑体" w:eastAsia="黑体"/>
          <w:sz w:val="44"/>
          <w:szCs w:val="44"/>
          <w:lang w:eastAsia="zh-CN"/>
        </w:rPr>
        <w:t>》</w:t>
      </w:r>
      <w:r>
        <w:rPr>
          <w:rFonts w:hint="eastAsia" w:ascii="黑体" w:eastAsia="黑体"/>
          <w:sz w:val="44"/>
          <w:szCs w:val="44"/>
          <w:lang w:val="en-US" w:eastAsia="zh-CN"/>
        </w:rPr>
        <w:t>展期及运输保险需求书</w:t>
      </w:r>
    </w:p>
    <w:bookmarkEnd w:id="0"/>
    <w:bookmarkEnd w:id="1"/>
    <w:bookmarkEnd w:id="2"/>
    <w:bookmarkEnd w:id="3"/>
    <w:bookmarkEnd w:id="4"/>
    <w:bookmarkEnd w:id="5"/>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6" w:name="_Toc40762371"/>
      <w:bookmarkStart w:id="7" w:name="_Toc37581421"/>
      <w:bookmarkStart w:id="8" w:name="_Toc37663392"/>
      <w:bookmarkStart w:id="9" w:name="_Toc37331039"/>
      <w:bookmarkStart w:id="10" w:name="_Toc37245277"/>
      <w:bookmarkStart w:id="11" w:name="_Toc37331081"/>
      <w:bookmarkStart w:id="12" w:name="_Toc46308684"/>
      <w:bookmarkStart w:id="13" w:name="_Toc37569520"/>
      <w:bookmarkStart w:id="14" w:name="_Toc46308528"/>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一个月</w:t>
      </w:r>
      <w:r>
        <w:rPr>
          <w:rFonts w:hint="eastAsia" w:ascii="仿宋" w:hAnsi="仿宋" w:eastAsia="仿宋" w:cs="仿宋"/>
          <w:sz w:val="28"/>
          <w:szCs w:val="28"/>
        </w:rPr>
        <w:t>的会计报表</w:t>
      </w:r>
      <w:r>
        <w:rPr>
          <w:rFonts w:hint="eastAsia" w:ascii="仿宋" w:hAnsi="仿宋" w:eastAsia="仿宋" w:cs="仿宋"/>
          <w:sz w:val="28"/>
          <w:szCs w:val="28"/>
          <w:lang w:val="en-US"/>
        </w:rPr>
        <w:t>,</w:t>
      </w:r>
      <w:r>
        <w:rPr>
          <w:rFonts w:hint="eastAsia" w:ascii="仿宋" w:hAnsi="仿宋" w:eastAsia="仿宋" w:cs="仿宋"/>
          <w:sz w:val="28"/>
          <w:szCs w:val="28"/>
        </w:rPr>
        <w:t>成立不满一个月不需提供）</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7、投标人应具备三年及以上专业艺术品展览及运输保险服务经验，请提供同等级别、相似或更高规模的艺术展览保险案例（在国内具备五年及以上艺术品保险服务经验者更佳）。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以保单时间为准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b w:val="0"/>
          <w:bCs/>
          <w:sz w:val="28"/>
          <w:szCs w:val="28"/>
          <w:u w:val="none"/>
          <w:lang w:eastAsia="zh-CN"/>
        </w:rPr>
        <w:t>《</w:t>
      </w:r>
      <w:r>
        <w:rPr>
          <w:rFonts w:hint="eastAsia" w:ascii="仿宋" w:hAnsi="仿宋" w:eastAsia="仿宋" w:cs="仿宋"/>
          <w:b w:val="0"/>
          <w:bCs/>
          <w:sz w:val="28"/>
          <w:szCs w:val="28"/>
          <w:u w:val="none"/>
          <w:lang w:val="en-US" w:eastAsia="zh-CN"/>
        </w:rPr>
        <w:t>何香凝于北京画坛</w:t>
      </w:r>
      <w:r>
        <w:rPr>
          <w:rFonts w:hint="eastAsia" w:ascii="仿宋" w:hAnsi="仿宋" w:eastAsia="仿宋" w:cs="仿宋"/>
          <w:b w:val="0"/>
          <w:bCs/>
          <w:sz w:val="28"/>
          <w:szCs w:val="28"/>
          <w:u w:val="none"/>
          <w:lang w:eastAsia="zh-CN"/>
        </w:rPr>
        <w:t>》</w:t>
      </w:r>
      <w:r>
        <w:rPr>
          <w:rFonts w:hint="eastAsia" w:ascii="仿宋" w:hAnsi="仿宋" w:eastAsia="仿宋" w:cs="仿宋"/>
          <w:sz w:val="28"/>
          <w:szCs w:val="28"/>
        </w:rPr>
        <w:t>艺术文献专题</w:t>
      </w:r>
      <w:bookmarkStart w:id="25" w:name="_GoBack"/>
      <w:bookmarkEnd w:id="25"/>
      <w:r>
        <w:rPr>
          <w:rFonts w:hint="eastAsia" w:ascii="仿宋" w:hAnsi="仿宋" w:eastAsia="仿宋" w:cs="仿宋"/>
          <w:b w:val="0"/>
          <w:bCs/>
          <w:sz w:val="28"/>
          <w:szCs w:val="28"/>
          <w:u w:val="none"/>
          <w:lang w:val="en-US" w:eastAsia="zh-CN"/>
        </w:rPr>
        <w:t>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运输及展期保险。何香凝藏品37件总估价4650万元。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北京画院</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12月18日——2021年2月28日。保险时间：2020年12月10日——2021年3月15日。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为所有借展文物投保钉到钉往返货运一切险及展览期间财产一切险（包含临时存储但临时存储时间不超过30天）。</w:t>
      </w:r>
    </w:p>
    <w:p>
      <w:pPr>
        <w:tabs>
          <w:tab w:val="left" w:pos="540"/>
        </w:tabs>
        <w:adjustRightInd w:val="0"/>
        <w:snapToGrid w:val="0"/>
        <w:spacing w:line="600" w:lineRule="exact"/>
        <w:ind w:right="-181" w:rightChars="-86"/>
        <w:rPr>
          <w:rFonts w:hint="eastAsia" w:ascii="仿宋" w:hAnsi="仿宋" w:eastAsia="仿宋" w:cs="仿宋"/>
          <w:snapToGrid w:val="0"/>
          <w:sz w:val="24"/>
          <w:szCs w:val="24"/>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展期及运输保险报价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楷体_GB2312" w:hAnsi="宋体" w:eastAsia="楷体_GB2312" w:cs="宋体"/>
                      <w:b/>
                      <w:bCs/>
                      <w:kern w:val="0"/>
                      <w:sz w:val="44"/>
                      <w:szCs w:val="44"/>
                      <w:lang w:val="en-US" w:eastAsia="zh-CN"/>
                    </w:rPr>
                    <w:t>展期保险及运输保险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bCs/>
                      <w:kern w:val="0"/>
                      <w:sz w:val="24"/>
                      <w:lang w:val="en-US" w:eastAsia="zh-CN"/>
                    </w:rPr>
                    <w:t>保险费率</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何香凝藏品展期保险</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37</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color w:val="000000"/>
                      <w:sz w:val="28"/>
                      <w:szCs w:val="28"/>
                      <w:lang w:val="en-US" w:eastAsia="zh-CN"/>
                    </w:rPr>
                    <w:t>4650</w:t>
                  </w:r>
                  <w:r>
                    <w:rPr>
                      <w:rFonts w:hint="eastAsia"/>
                      <w:b/>
                      <w:bCs/>
                    </w:rPr>
                    <w:t>万</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840" w:firstLineChars="300"/>
        <w:outlineLvl w:val="1"/>
        <w:rPr>
          <w:rFonts w:hint="default" w:ascii="仿宋" w:hAnsi="仿宋" w:eastAsia="仿宋" w:cs="仿宋"/>
          <w:b/>
          <w:sz w:val="28"/>
          <w:szCs w:val="28"/>
          <w:lang w:val="en-US" w:eastAsia="zh-CN"/>
        </w:rPr>
      </w:pPr>
      <w:bookmarkStart w:id="23" w:name="_Toc419986989"/>
      <w:r>
        <w:rPr>
          <w:rFonts w:hint="eastAsia" w:ascii="仿宋" w:hAnsi="仿宋" w:eastAsia="仿宋" w:cs="仿宋"/>
          <w:sz w:val="28"/>
          <w:szCs w:val="28"/>
          <w:lang w:val="en-US" w:eastAsia="zh-CN"/>
        </w:rPr>
        <w:t>1、</w:t>
      </w:r>
      <w:bookmarkEnd w:id="23"/>
      <w:r>
        <w:rPr>
          <w:rFonts w:hint="eastAsia" w:ascii="仿宋" w:hAnsi="仿宋" w:eastAsia="仿宋" w:cs="仿宋"/>
          <w:sz w:val="28"/>
          <w:szCs w:val="28"/>
          <w:lang w:val="en-US" w:eastAsia="zh-CN"/>
        </w:rPr>
        <w:t>保险费需于保险单生效日起30日内缴付。</w:t>
      </w:r>
    </w:p>
    <w:p>
      <w:pPr>
        <w:spacing w:line="600" w:lineRule="exact"/>
        <w:ind w:firstLine="562" w:firstLineChars="200"/>
        <w:outlineLvl w:val="1"/>
        <w:rPr>
          <w:rFonts w:hint="eastAsia" w:ascii="仿宋_GB2312" w:hAnsi="仿宋_GB2312" w:eastAsia="仿宋_GB2312" w:cs="仿宋_GB2312"/>
          <w:b/>
          <w:sz w:val="28"/>
          <w:szCs w:val="28"/>
        </w:rPr>
      </w:pPr>
      <w:bookmarkStart w:id="24"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24"/>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spacing w:line="600" w:lineRule="exact"/>
        <w:ind w:firstLine="560" w:firstLineChars="200"/>
        <w:rPr>
          <w:rFonts w:ascii="仿宋_GB2312" w:hAnsi="仿宋_GB2312" w:eastAsia="仿宋_GB2312" w:cs="仿宋_GB2312"/>
          <w:sz w:val="28"/>
          <w:szCs w:val="28"/>
        </w:rPr>
      </w:pPr>
    </w:p>
    <w:p/>
    <w:p/>
    <w:p>
      <w:pPr>
        <w:jc w:val="right"/>
        <w:rPr>
          <w:rFonts w:hint="eastAsia"/>
          <w:sz w:val="28"/>
          <w:szCs w:val="28"/>
          <w:lang w:val="en-US" w:eastAsia="zh-CN"/>
        </w:rPr>
      </w:pPr>
      <w:r>
        <w:rPr>
          <w:rFonts w:hint="eastAsia"/>
          <w:sz w:val="28"/>
          <w:szCs w:val="28"/>
          <w:lang w:val="en-US" w:eastAsia="zh-CN"/>
        </w:rPr>
        <w:t>办公室</w:t>
      </w:r>
    </w:p>
    <w:p>
      <w:pPr>
        <w:jc w:val="right"/>
        <w:rPr>
          <w:rFonts w:hint="default"/>
          <w:lang w:val="en-US" w:eastAsia="zh-CN"/>
        </w:rPr>
      </w:pPr>
      <w:r>
        <w:rPr>
          <w:rFonts w:hint="eastAsia"/>
          <w:sz w:val="28"/>
          <w:szCs w:val="28"/>
          <w:lang w:val="en-US" w:eastAsia="zh-CN"/>
        </w:rPr>
        <w:t>2020.11.27</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C3031"/>
    <w:rsid w:val="04B841D7"/>
    <w:rsid w:val="076B13BD"/>
    <w:rsid w:val="0F543F6E"/>
    <w:rsid w:val="219B0B3F"/>
    <w:rsid w:val="242F5603"/>
    <w:rsid w:val="39705140"/>
    <w:rsid w:val="420447D6"/>
    <w:rsid w:val="438D2E7E"/>
    <w:rsid w:val="4705405A"/>
    <w:rsid w:val="4887218A"/>
    <w:rsid w:val="4BA06F78"/>
    <w:rsid w:val="50D261DE"/>
    <w:rsid w:val="5D8932C1"/>
    <w:rsid w:val="61A70872"/>
    <w:rsid w:val="6B2038C8"/>
    <w:rsid w:val="777E2AB7"/>
    <w:rsid w:val="7C1D10FE"/>
    <w:rsid w:val="7F124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2020-11-27T06:31:05Z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