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bookmarkStart w:id="0" w:name="_Toc37581421"/>
      <w:bookmarkStart w:id="1" w:name="_Toc46308528"/>
      <w:bookmarkStart w:id="2" w:name="_Toc40762371"/>
      <w:bookmarkStart w:id="3" w:name="_Toc46308684"/>
      <w:bookmarkStart w:id="4" w:name="_Toc37245277"/>
      <w:bookmarkStart w:id="5" w:name="_Toc37331039"/>
      <w:bookmarkStart w:id="6" w:name="_Toc37331081"/>
      <w:bookmarkStart w:id="7" w:name="_Toc37663392"/>
      <w:bookmarkStart w:id="8" w:name="_Toc37569520"/>
      <w:r>
        <w:rPr>
          <w:rFonts w:hint="eastAsia" w:ascii="方正小标宋简体" w:hAnsi="方正小标宋简体" w:eastAsia="方正小标宋简体" w:cs="方正小标宋简体"/>
          <w:sz w:val="44"/>
          <w:szCs w:val="44"/>
        </w:rPr>
        <w:t>《离散与汇聚——第三届全球华人艺术展》展览</w:t>
      </w:r>
      <w:r>
        <w:rPr>
          <w:rFonts w:hint="eastAsia" w:ascii="方正小标宋简体" w:hAnsi="方正小标宋简体" w:eastAsia="方正小标宋简体" w:cs="方正小标宋简体"/>
          <w:sz w:val="44"/>
          <w:szCs w:val="44"/>
          <w:lang w:eastAsia="zh-CN"/>
        </w:rPr>
        <w:t>招贴及</w:t>
      </w:r>
      <w:r>
        <w:rPr>
          <w:rFonts w:hint="eastAsia" w:ascii="方正小标宋简体" w:hAnsi="方正小标宋简体" w:eastAsia="方正小标宋简体" w:cs="方正小标宋简体"/>
          <w:sz w:val="44"/>
          <w:szCs w:val="44"/>
        </w:rPr>
        <w:t>空间设计采购项目需求书</w:t>
      </w:r>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45</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0</w:t>
            </w:r>
            <w:r>
              <w:rPr>
                <w:rFonts w:ascii="仿宋_GB2312" w:hAnsi="仿宋_GB2312" w:eastAsia="仿宋_GB2312" w:cs="仿宋_GB2312"/>
                <w:bCs/>
                <w:sz w:val="32"/>
                <w:szCs w:val="32"/>
              </w:rPr>
              <w:t>00.00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本项目为2020年何香凝美术馆展览之一的“离散与汇聚——第三届全球华人艺术展”的</w:t>
      </w:r>
      <w:r>
        <w:rPr>
          <w:rFonts w:hint="eastAsia" w:ascii="仿宋_GB2312" w:hAnsi="仿宋_GB2312" w:eastAsia="仿宋_GB2312" w:cs="仿宋_GB2312"/>
          <w:snapToGrid w:val="0"/>
          <w:sz w:val="32"/>
          <w:szCs w:val="32"/>
          <w:lang w:eastAsia="zh-CN"/>
        </w:rPr>
        <w:t>展览招贴及空间</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（1）展厅整体设计：配合展览需求设计展柜、特装、路线图等。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（2）展板设计：根据展览整体设计效果设计相应展板，包括前言、分篇幅文字，展览背景图片等。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（4）展览海报设计。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（5）展览标签设计。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（6）户外广告条幅：根据何香凝美术馆展馆外围户外广告尺寸设计，1款。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（7）展览公教纸三折页。</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tabs>
          <w:tab w:val="left" w:pos="540"/>
        </w:tabs>
        <w:adjustRightInd w:val="0"/>
        <w:snapToGrid w:val="0"/>
        <w:spacing w:line="600" w:lineRule="exact"/>
        <w:ind w:right="-181" w:rightChars="-86"/>
        <w:rPr>
          <w:rFonts w:hint="eastAsia" w:ascii="仿宋_GB2312" w:hAnsi="仿宋_GB2312" w:eastAsia="仿宋_GB2312" w:cs="仿宋_GB2312"/>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1、展览</w:t>
      </w:r>
      <w:r>
        <w:rPr>
          <w:rFonts w:hint="eastAsia" w:ascii="仿宋_GB2312" w:hAnsi="仿宋_GB2312" w:eastAsia="仿宋_GB2312" w:cs="仿宋_GB2312"/>
          <w:b/>
          <w:sz w:val="32"/>
          <w:szCs w:val="32"/>
          <w:lang w:eastAsia="zh-CN"/>
        </w:rPr>
        <w:t>招贴</w:t>
      </w:r>
      <w:r>
        <w:rPr>
          <w:rFonts w:hint="eastAsia" w:ascii="仿宋_GB2312" w:hAnsi="仿宋_GB2312" w:eastAsia="仿宋_GB2312" w:cs="仿宋_GB2312"/>
          <w:b/>
          <w:sz w:val="32"/>
          <w:szCs w:val="32"/>
        </w:rPr>
        <w:t>及</w:t>
      </w:r>
      <w:r>
        <w:rPr>
          <w:rFonts w:hint="eastAsia" w:ascii="仿宋_GB2312" w:hAnsi="仿宋_GB2312" w:eastAsia="仿宋_GB2312" w:cs="仿宋_GB2312"/>
          <w:b/>
          <w:sz w:val="32"/>
          <w:szCs w:val="32"/>
          <w:lang w:eastAsia="zh-CN"/>
        </w:rPr>
        <w:t>空间</w:t>
      </w:r>
      <w:bookmarkStart w:id="20" w:name="_GoBack"/>
      <w:bookmarkEnd w:id="20"/>
      <w:r>
        <w:rPr>
          <w:rFonts w:hint="eastAsia" w:ascii="仿宋_GB2312" w:hAnsi="仿宋_GB2312" w:eastAsia="仿宋_GB2312" w:cs="仿宋_GB2312"/>
          <w:b/>
          <w:sz w:val="32"/>
          <w:szCs w:val="32"/>
        </w:rPr>
        <w:t>设计</w:t>
      </w:r>
    </w:p>
    <w:tbl>
      <w:tblPr>
        <w:tblStyle w:val="9"/>
        <w:tblW w:w="7620" w:type="dxa"/>
        <w:jc w:val="center"/>
        <w:tblLayout w:type="fixed"/>
        <w:tblCellMar>
          <w:top w:w="0" w:type="dxa"/>
          <w:left w:w="108" w:type="dxa"/>
          <w:bottom w:w="0" w:type="dxa"/>
          <w:right w:w="108" w:type="dxa"/>
        </w:tblCellMar>
      </w:tblPr>
      <w:tblGrid>
        <w:gridCol w:w="1124"/>
        <w:gridCol w:w="3556"/>
        <w:gridCol w:w="1264"/>
        <w:gridCol w:w="1676"/>
      </w:tblGrid>
      <w:tr>
        <w:tblPrEx>
          <w:tblCellMar>
            <w:top w:w="0" w:type="dxa"/>
            <w:left w:w="108" w:type="dxa"/>
            <w:bottom w:w="0" w:type="dxa"/>
            <w:right w:w="108" w:type="dxa"/>
          </w:tblCellMar>
        </w:tblPrEx>
        <w:trPr>
          <w:trHeight w:val="739" w:hRule="atLeast"/>
          <w:jc w:val="center"/>
        </w:trPr>
        <w:tc>
          <w:tcPr>
            <w:tcW w:w="112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离散与汇聚——第三届全球华人艺术展</w:t>
            </w:r>
          </w:p>
        </w:tc>
        <w:tc>
          <w:tcPr>
            <w:tcW w:w="355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2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7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624" w:hRule="atLeast"/>
          <w:jc w:val="center"/>
        </w:trPr>
        <w:tc>
          <w:tcPr>
            <w:tcW w:w="112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2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6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展览海报设计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户外广告条幅</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室内广告条幅</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展板设计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124" w:type="dxa"/>
            <w:vMerge w:val="continue"/>
            <w:tcBorders>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展厅整体设计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ind w:firstLine="643" w:firstLineChars="200"/>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eastAsia="zh-CN"/>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9月-12月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3"/>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F051B8"/>
    <w:multiLevelType w:val="singleLevel"/>
    <w:tmpl w:val="18F051B8"/>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2098686D"/>
    <w:rsid w:val="209F3FF6"/>
    <w:rsid w:val="2697352D"/>
    <w:rsid w:val="26E627DF"/>
    <w:rsid w:val="27E0273B"/>
    <w:rsid w:val="283A62D5"/>
    <w:rsid w:val="2CBB1D2E"/>
    <w:rsid w:val="2D3D2D3F"/>
    <w:rsid w:val="2D5F45B5"/>
    <w:rsid w:val="3CD1590F"/>
    <w:rsid w:val="42332734"/>
    <w:rsid w:val="46EF5460"/>
    <w:rsid w:val="47B0255F"/>
    <w:rsid w:val="4CCE037B"/>
    <w:rsid w:val="4E6E1F29"/>
    <w:rsid w:val="4F5A5106"/>
    <w:rsid w:val="4FE6757E"/>
    <w:rsid w:val="51071D8F"/>
    <w:rsid w:val="527B555D"/>
    <w:rsid w:val="55AA42E8"/>
    <w:rsid w:val="59E32478"/>
    <w:rsid w:val="5EAE0389"/>
    <w:rsid w:val="6161331D"/>
    <w:rsid w:val="62E24E81"/>
    <w:rsid w:val="677A742D"/>
    <w:rsid w:val="6A7A59E2"/>
    <w:rsid w:val="6ADA784B"/>
    <w:rsid w:val="6C8E07F9"/>
    <w:rsid w:val="6D535020"/>
    <w:rsid w:val="6D9F2D69"/>
    <w:rsid w:val="6E780066"/>
    <w:rsid w:val="70B038BD"/>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3</TotalTime>
  <ScaleCrop>false</ScaleCrop>
  <LinksUpToDate>false</LinksUpToDate>
  <CharactersWithSpaces>1933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阿尔</cp:lastModifiedBy>
  <cp:lastPrinted>2020-04-27T09:30:00Z</cp:lastPrinted>
  <dcterms:modified xsi:type="dcterms:W3CDTF">2020-09-15T07:28:02Z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