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bookmarkStart w:id="0" w:name="_Toc37663392"/>
      <w:bookmarkStart w:id="1" w:name="_Toc37569520"/>
      <w:bookmarkStart w:id="2" w:name="_Toc46308684"/>
      <w:bookmarkStart w:id="3" w:name="_Toc37331039"/>
      <w:bookmarkStart w:id="4" w:name="_Toc46308528"/>
      <w:bookmarkStart w:id="5" w:name="_Toc40762371"/>
      <w:bookmarkStart w:id="6" w:name="_Toc37245277"/>
      <w:bookmarkStart w:id="7" w:name="_Toc37581421"/>
      <w:bookmarkStart w:id="8" w:name="_Toc37331081"/>
      <w:r>
        <w:rPr>
          <w:rFonts w:hint="eastAsia" w:asciiTheme="majorEastAsia" w:hAnsiTheme="majorEastAsia" w:eastAsiaTheme="majorEastAsia" w:cstheme="majorEastAsia"/>
          <w:b/>
          <w:bCs/>
          <w:sz w:val="44"/>
          <w:szCs w:val="44"/>
          <w:lang w:eastAsia="zh-CN"/>
        </w:rPr>
        <w:t>关于《穿过冻土、荒漠与冰川——第五届全球华人艺术展》</w:t>
      </w:r>
      <w:r>
        <w:rPr>
          <w:rFonts w:hint="eastAsia" w:asciiTheme="majorEastAsia" w:hAnsiTheme="majorEastAsia" w:eastAsiaTheme="majorEastAsia" w:cstheme="majorEastAsia"/>
          <w:b/>
          <w:bCs/>
          <w:sz w:val="44"/>
          <w:szCs w:val="44"/>
          <w:lang w:val="en-US" w:eastAsia="zh-CN"/>
        </w:rPr>
        <w:t>展览作品采购运输、保险</w:t>
      </w:r>
      <w:r>
        <w:rPr>
          <w:rFonts w:hint="eastAsia" w:ascii="黑体" w:hAnsi="黑体" w:eastAsia="黑体"/>
          <w:sz w:val="44"/>
          <w:szCs w:val="44"/>
          <w:lang w:val="en-US" w:eastAsia="zh-CN"/>
        </w:rPr>
        <w:t>服务需求书</w:t>
      </w:r>
    </w:p>
    <w:p>
      <w:pPr>
        <w:rPr>
          <w:rFonts w:hint="default" w:ascii="黑体" w:hAnsi="黑体" w:eastAsia="黑体"/>
          <w:sz w:val="44"/>
          <w:szCs w:val="44"/>
          <w:lang w:val="en-US" w:eastAsia="zh-CN"/>
        </w:rPr>
      </w:pPr>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8、投标人应负责采购本项目的运输服务、保险服务</w:t>
      </w:r>
      <w:bookmarkStart w:id="19" w:name="_GoBack"/>
      <w:bookmarkEnd w:id="19"/>
      <w:r>
        <w:rPr>
          <w:rFonts w:hint="eastAsia" w:ascii="仿宋_GB2312" w:hAnsi="仿宋_GB2312" w:eastAsia="仿宋_GB2312" w:cs="仿宋_GB2312"/>
          <w:sz w:val="28"/>
          <w:szCs w:val="28"/>
          <w:lang w:val="en-US" w:eastAsia="zh-CN"/>
        </w:rPr>
        <w:t>。（保险公司在国内具备五年及以上艺术品保险服务经验者）。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13</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何香凝美术馆将举办</w:t>
      </w:r>
      <w:r>
        <w:rPr>
          <w:rFonts w:hint="eastAsia" w:ascii="仿宋" w:hAnsi="仿宋" w:eastAsia="仿宋" w:cs="仿宋"/>
          <w:sz w:val="28"/>
          <w:szCs w:val="28"/>
          <w:lang w:val="en-US" w:eastAsia="zh-CN"/>
        </w:rPr>
        <w:t>“穿过冻土、荒漠与冰川——第五届全球华人艺术展”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期间的作品运输服务（含报关服务）、保险服务（含运输保险、展期保险）作品约96件。保险费人民币：4，582，400元（肆佰伍拾捌万贰仟肆佰圆整）。</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12月10日——2023年4月2日。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w:t>
      </w:r>
      <w:r>
        <w:rPr>
          <w:rFonts w:hint="eastAsia" w:ascii="仿宋" w:hAnsi="仿宋" w:eastAsia="仿宋" w:cs="仿宋"/>
          <w:color w:val="000000"/>
          <w:sz w:val="28"/>
          <w:szCs w:val="28"/>
          <w:lang w:val="en-US" w:eastAsia="zh-CN"/>
        </w:rPr>
        <w:t>作品门到门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运输服务（含报关、包装服务）、作品保险（含运输、展期保险）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autofit"/>
        <w:tblCellMar>
          <w:top w:w="0" w:type="dxa"/>
          <w:left w:w="108" w:type="dxa"/>
          <w:bottom w:w="0" w:type="dxa"/>
          <w:right w:w="108" w:type="dxa"/>
        </w:tblCellMar>
      </w:tblPr>
      <w:tblGrid>
        <w:gridCol w:w="14580"/>
      </w:tblGrid>
      <w:tr>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autofit"/>
              <w:tblCellMar>
                <w:top w:w="0" w:type="dxa"/>
                <w:left w:w="108" w:type="dxa"/>
                <w:bottom w:w="0" w:type="dxa"/>
                <w:right w:w="108" w:type="dxa"/>
              </w:tblCellMar>
            </w:tblPr>
            <w:tblGrid>
              <w:gridCol w:w="821"/>
              <w:gridCol w:w="2230"/>
              <w:gridCol w:w="1012"/>
              <w:gridCol w:w="870"/>
              <w:gridCol w:w="1427"/>
              <w:gridCol w:w="1056"/>
              <w:gridCol w:w="1562"/>
              <w:gridCol w:w="96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1364"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96</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cs="仿宋" w:eastAsiaTheme="minorEastAsia"/>
                      <w:b/>
                      <w:color w:val="000000"/>
                      <w:kern w:val="0"/>
                      <w:sz w:val="24"/>
                      <w:szCs w:val="24"/>
                      <w:lang w:val="en-US" w:eastAsia="zh-CN" w:bidi="ar-SA"/>
                    </w:rPr>
                  </w:pPr>
                  <w:r>
                    <w:rPr>
                      <w:rFonts w:hint="eastAsia" w:ascii="仿宋" w:hAnsi="仿宋" w:eastAsia="仿宋" w:cs="仿宋"/>
                      <w:color w:val="000000"/>
                      <w:sz w:val="28"/>
                      <w:szCs w:val="28"/>
                      <w:lang w:val="en-US" w:eastAsia="zh-CN"/>
                    </w:rPr>
                    <w:t>458.24</w:t>
                  </w:r>
                  <w:r>
                    <w:rPr>
                      <w:rFonts w:hint="eastAsia"/>
                      <w:b/>
                      <w:bCs/>
                    </w:rPr>
                    <w:t>万</w:t>
                  </w:r>
                  <w:r>
                    <w:rPr>
                      <w:rFonts w:hint="eastAsia"/>
                      <w:b/>
                      <w:bCs/>
                      <w:lang w:val="en-US" w:eastAsia="zh-CN"/>
                    </w:rPr>
                    <w:t>元</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b/>
                      <w:bCs/>
                      <w:kern w:val="0"/>
                      <w:sz w:val="24"/>
                      <w:lang w:val="en-US" w:eastAsia="zh-CN"/>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984"/>
      <w:bookmarkStart w:id="13" w:name="_Toc41998686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办公室</w:t>
      </w:r>
    </w:p>
    <w:p>
      <w:pPr>
        <w:jc w:val="right"/>
        <w:rPr>
          <w:rFonts w:hint="default"/>
          <w:lang w:val="en-US" w:eastAsia="zh-CN"/>
        </w:rPr>
      </w:pPr>
      <w:r>
        <w:rPr>
          <w:rFonts w:hint="eastAsia"/>
          <w:sz w:val="28"/>
          <w:szCs w:val="28"/>
          <w:lang w:val="en-US" w:eastAsia="zh-CN"/>
        </w:rPr>
        <w:t>2022.12.12</w:t>
      </w:r>
    </w:p>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mM1OGVlYTNiMmY2ZTczZDg2ZGE4MzFkM2JiNDAifQ=="/>
  </w:docVars>
  <w:rsids>
    <w:rsidRoot w:val="00000000"/>
    <w:rsid w:val="483F7507"/>
    <w:rsid w:val="54835C68"/>
    <w:rsid w:val="787E7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1508</Words>
  <Characters>1539</Characters>
  <Lines>0</Lines>
  <Paragraphs>0</Paragraphs>
  <TotalTime>15</TotalTime>
  <ScaleCrop>false</ScaleCrop>
  <LinksUpToDate>false</LinksUpToDate>
  <CharactersWithSpaces>1552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2022-12-12T07:56:09Z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0E0946455135478690DF478B760DC044</vt:lpwstr>
  </property>
</Properties>
</file>